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E0F6"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61EC46A2" w14:textId="72AA7586" w:rsidR="00D04C0F" w:rsidRDefault="00CF0644" w:rsidP="00D04C0F">
      <w:pPr>
        <w:pStyle w:val="Ttulo"/>
        <w:rPr>
          <w:rFonts w:ascii="Tahoma" w:hAnsi="Tahoma" w:cs="Tahoma"/>
          <w:sz w:val="20"/>
          <w:szCs w:val="20"/>
        </w:rPr>
      </w:pPr>
      <w:r w:rsidRPr="00CF0644">
        <w:rPr>
          <w:rFonts w:ascii="Tahoma" w:hAnsi="Tahoma" w:cs="Tahoma"/>
          <w:sz w:val="20"/>
          <w:szCs w:val="20"/>
        </w:rPr>
        <w:t xml:space="preserve">CONVOCATORIA PÚBLICA </w:t>
      </w:r>
      <w:r w:rsidR="003E6176">
        <w:rPr>
          <w:rFonts w:ascii="Tahoma" w:hAnsi="Tahoma" w:cs="Tahoma"/>
          <w:sz w:val="20"/>
          <w:szCs w:val="20"/>
        </w:rPr>
        <w:t>020</w:t>
      </w:r>
      <w:r w:rsidR="00ED75B1">
        <w:rPr>
          <w:rFonts w:ascii="Tahoma" w:hAnsi="Tahoma" w:cs="Tahoma"/>
          <w:sz w:val="20"/>
          <w:szCs w:val="20"/>
        </w:rPr>
        <w:t xml:space="preserve"> </w:t>
      </w:r>
      <w:r w:rsidR="00866AD9">
        <w:rPr>
          <w:rFonts w:ascii="Tahoma" w:hAnsi="Tahoma" w:cs="Tahoma"/>
          <w:sz w:val="20"/>
          <w:szCs w:val="20"/>
        </w:rPr>
        <w:t xml:space="preserve"> DEL 2021</w:t>
      </w:r>
    </w:p>
    <w:p w14:paraId="405EAC10" w14:textId="77777777" w:rsidR="00CF0644" w:rsidRPr="007D0A33" w:rsidRDefault="00CF0644" w:rsidP="00D04C0F">
      <w:pPr>
        <w:pStyle w:val="Ttulo"/>
        <w:rPr>
          <w:rFonts w:ascii="Tahoma" w:hAnsi="Tahoma" w:cs="Tahoma"/>
          <w:sz w:val="20"/>
          <w:szCs w:val="20"/>
        </w:rPr>
      </w:pPr>
    </w:p>
    <w:p w14:paraId="0AFBBB48"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3A736F">
        <w:rPr>
          <w:rFonts w:ascii="Tahoma" w:hAnsi="Tahoma" w:cs="Tahoma"/>
          <w:sz w:val="20"/>
          <w:szCs w:val="20"/>
          <w:lang w:val="es-CO"/>
        </w:rPr>
        <w:t>12</w:t>
      </w:r>
    </w:p>
    <w:p w14:paraId="764C67FC" w14:textId="77777777" w:rsidR="00D04C0F" w:rsidRDefault="00994628" w:rsidP="00D04C0F">
      <w:pPr>
        <w:pStyle w:val="Ttulo"/>
        <w:rPr>
          <w:rFonts w:ascii="Tahoma" w:hAnsi="Tahoma" w:cs="Tahoma"/>
          <w:caps/>
          <w:sz w:val="20"/>
          <w:szCs w:val="20"/>
          <w:lang w:val="x-none"/>
        </w:rPr>
      </w:pPr>
      <w:r w:rsidRPr="00994628">
        <w:rPr>
          <w:rFonts w:ascii="Tahoma" w:hAnsi="Tahoma" w:cs="Tahoma"/>
          <w:caps/>
          <w:sz w:val="20"/>
          <w:szCs w:val="20"/>
          <w:lang w:val="x-none"/>
        </w:rPr>
        <w:t>CARTA DE COMPROMISO BUENAS PRACTICAS AMBIENTALES.</w:t>
      </w:r>
      <w:r w:rsidR="004404D2" w:rsidRPr="004404D2">
        <w:rPr>
          <w:rFonts w:ascii="Tahoma" w:hAnsi="Tahoma" w:cs="Tahoma"/>
          <w:caps/>
          <w:sz w:val="20"/>
          <w:szCs w:val="20"/>
          <w:lang w:val="x-none"/>
        </w:rPr>
        <w:t>.</w:t>
      </w:r>
    </w:p>
    <w:p w14:paraId="6C3E1C8A" w14:textId="77777777" w:rsidR="00D04C0F" w:rsidRPr="007D0A33" w:rsidRDefault="00D04C0F" w:rsidP="00D04C0F">
      <w:pPr>
        <w:pStyle w:val="Textoindependiente"/>
        <w:jc w:val="both"/>
        <w:rPr>
          <w:rFonts w:ascii="Tahoma" w:hAnsi="Tahoma" w:cs="Tahoma"/>
          <w:b/>
          <w:i/>
          <w:spacing w:val="-3"/>
          <w:lang w:val="es-ES"/>
        </w:rPr>
      </w:pPr>
    </w:p>
    <w:p w14:paraId="25D9CCDA" w14:textId="77777777" w:rsidR="008B04FF" w:rsidRPr="00ED7DE0" w:rsidRDefault="008B04FF" w:rsidP="008B04FF">
      <w:pPr>
        <w:pStyle w:val="Prrafodelista"/>
        <w:suppressAutoHyphens w:val="0"/>
        <w:spacing w:after="160"/>
        <w:ind w:left="0"/>
        <w:contextualSpacing/>
        <w:rPr>
          <w:rFonts w:ascii="Tahoma" w:hAnsi="Tahoma" w:cs="Tahoma"/>
          <w:sz w:val="20"/>
          <w:szCs w:val="20"/>
        </w:rPr>
      </w:pPr>
      <w:r w:rsidRPr="00ED7DE0">
        <w:rPr>
          <w:rFonts w:ascii="Tahoma" w:hAnsi="Tahoma" w:cs="Tahoma"/>
          <w:b/>
          <w:bCs/>
          <w:spacing w:val="-3"/>
          <w:sz w:val="18"/>
          <w:szCs w:val="20"/>
          <w:lang w:val="es-CO"/>
        </w:rPr>
        <w:br/>
      </w:r>
      <w:r w:rsidRPr="00ED7DE0">
        <w:rPr>
          <w:rFonts w:ascii="Tahoma" w:hAnsi="Tahoma" w:cs="Tahoma"/>
          <w:b/>
          <w:sz w:val="20"/>
          <w:szCs w:val="20"/>
        </w:rPr>
        <w:t>1 OBLIGACIONES, COMPROMISOS Y NORMATIVIDAD DE SG-SST Y SGA DEL CONTRATISTA</w:t>
      </w:r>
    </w:p>
    <w:p w14:paraId="2F947E45" w14:textId="77777777" w:rsidR="008B04FF" w:rsidRDefault="008B04FF" w:rsidP="008B04FF">
      <w:pPr>
        <w:pStyle w:val="Prrafodelista"/>
        <w:spacing w:after="200"/>
        <w:ind w:left="0"/>
        <w:jc w:val="left"/>
        <w:rPr>
          <w:rFonts w:ascii="Tahoma" w:hAnsi="Tahoma" w:cs="Tahoma"/>
          <w:b/>
          <w:sz w:val="20"/>
          <w:szCs w:val="20"/>
        </w:rPr>
      </w:pPr>
    </w:p>
    <w:p w14:paraId="6EBCE3F2"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1.1 INTRODUCCIÓN</w:t>
      </w:r>
    </w:p>
    <w:p w14:paraId="5F81B4A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Este manual es de obligatorio cumplimiento por parte de los contratistas y subcontratistas que trabajen en las obras de la Universidad Distrital Francisco José de Caldas, por lo cual deberán tener en cuenta lo contenido en él, al momento de calcular los costos para ofertar trabajos para la Universidad. Todas las organizaciones están compuestas por personas, siendo esté el activo más importante de toda institución, razón por la cual ahora con más fuerza las directivas son conscientes de la importancia de cuidar la salud de nuestros colaboradores y partes interesadas a través de la implantación del Sistema de Gestión Integral en Seguridad Industrial &amp; Salud Ocupacional (SISO) y Medo Ambiente, obteniendo beneficios como:</w:t>
      </w:r>
    </w:p>
    <w:p w14:paraId="0DFD0AC5"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Minimizar los riesgos relevantes a salud, accidentes y otros por Seguridad Industrial e higiene ocupacional.</w:t>
      </w:r>
    </w:p>
    <w:p w14:paraId="3F92EAB4"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Prevención de demandas por efectos adversos sobre el personal externo o interno a la UFJC y sobre el medio ambiente.</w:t>
      </w:r>
    </w:p>
    <w:p w14:paraId="0242CBA5"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desempeño de las actividades y procesos dando como resultado la reducción de costos e incremento de la rentabilidad.</w:t>
      </w:r>
    </w:p>
    <w:p w14:paraId="578B1AA8"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organización ante la comunidad y el mercado.</w:t>
      </w:r>
    </w:p>
    <w:p w14:paraId="0E8A9533"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Evitar retrasos o incumplimientos por falta o incapacidad de personal.</w:t>
      </w:r>
    </w:p>
    <w:p w14:paraId="758A7ACC"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 xml:space="preserve">Minimizar los impactos negativos hacia el medio ambiente. </w:t>
      </w:r>
    </w:p>
    <w:p w14:paraId="5C95E9EE"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 xml:space="preserve">Los contratistas son responsables de la divulgación y del cumplimiento de dichos procedimientos con sus colaboradores. </w:t>
      </w:r>
    </w:p>
    <w:p w14:paraId="7E3C392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aplicación de los procedimientos detallados en este manual no excluye al contratista de la actualización permanente de los requisitos legales aplicables y cumplimiento de la legislación vigente en el país, así como de su responsabilidad directa ante cualquier situación de riesgo que pueda presentarse con el personal a su cargo.</w:t>
      </w:r>
    </w:p>
    <w:p w14:paraId="676AA53A"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 OBJETIVOS </w:t>
      </w:r>
    </w:p>
    <w:p w14:paraId="0151844E"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1.2.1 OBJETIVO GENERAL </w:t>
      </w:r>
    </w:p>
    <w:p w14:paraId="2F4D5CD5" w14:textId="77777777" w:rsidR="008B04FF" w:rsidRPr="00ED7DE0" w:rsidRDefault="008B04FF" w:rsidP="008B04FF">
      <w:pPr>
        <w:jc w:val="both"/>
        <w:rPr>
          <w:rFonts w:ascii="Tahoma" w:hAnsi="Tahoma" w:cs="Tahoma"/>
          <w:bCs/>
          <w:sz w:val="20"/>
          <w:szCs w:val="20"/>
        </w:rPr>
      </w:pPr>
      <w:r w:rsidRPr="00ED7DE0">
        <w:rPr>
          <w:rFonts w:ascii="Tahoma" w:hAnsi="Tahoma" w:cs="Tahoma"/>
          <w:sz w:val="20"/>
          <w:szCs w:val="20"/>
        </w:rPr>
        <w:t xml:space="preserve">Establecer las normas y procedimientos de Seguridad Industrial, Higiene, Salud Ocupacional y Medio Ambiente que deben cumplir y poner en práctica las empresas contratistas y subcontratistas que realizan obras para </w:t>
      </w:r>
      <w:r w:rsidRPr="00ED7DE0">
        <w:rPr>
          <w:rFonts w:ascii="Tahoma" w:hAnsi="Tahoma" w:cs="Tahoma"/>
          <w:bCs/>
          <w:sz w:val="20"/>
          <w:szCs w:val="20"/>
        </w:rPr>
        <w:t>la Universidad Distrital Francisco José de Caldas – UDFJC, cumpliendo con la Ley de la República de Colombia.</w:t>
      </w:r>
    </w:p>
    <w:p w14:paraId="45EF2F92" w14:textId="77777777" w:rsidR="008B04FF" w:rsidRPr="00ED7DE0" w:rsidRDefault="008B04FF" w:rsidP="008B04FF">
      <w:pPr>
        <w:rPr>
          <w:rFonts w:ascii="Tahoma" w:hAnsi="Tahoma" w:cs="Tahoma"/>
          <w:b/>
          <w:bCs/>
          <w:sz w:val="20"/>
          <w:szCs w:val="20"/>
        </w:rPr>
      </w:pPr>
      <w:r w:rsidRPr="00ED7DE0">
        <w:rPr>
          <w:rFonts w:ascii="Tahoma" w:hAnsi="Tahoma" w:cs="Tahoma"/>
          <w:b/>
          <w:sz w:val="20"/>
          <w:szCs w:val="20"/>
        </w:rPr>
        <w:t xml:space="preserve">1.2.2 </w:t>
      </w:r>
      <w:r w:rsidRPr="00ED7DE0">
        <w:rPr>
          <w:rFonts w:ascii="Tahoma" w:hAnsi="Tahoma" w:cs="Tahoma"/>
          <w:b/>
          <w:bCs/>
          <w:sz w:val="20"/>
          <w:szCs w:val="20"/>
        </w:rPr>
        <w:t xml:space="preserve">OBJETIVOS ESPECÍFICOS </w:t>
      </w:r>
    </w:p>
    <w:p w14:paraId="0400D15E"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Determinar los recursos de Seguridad Industrial, Higiene, Salud Ocupacional y Medio Ambiente que deben tener las empresas contratistas, para realizar trabajos al interior de la institución. </w:t>
      </w:r>
    </w:p>
    <w:p w14:paraId="2E6CAC5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Establecer un control permanente sobre los requisitos de afiliación al sistema de Seguridad Industrial social de todo el personal de las empresas contratistas, manteniendo informadas a todas partes interesadas de la institución. </w:t>
      </w:r>
    </w:p>
    <w:p w14:paraId="1A1D1B84"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Establecer el flujo de información relacionada con la actividad a realizar por las empresas contratistas.</w:t>
      </w:r>
    </w:p>
    <w:p w14:paraId="69B5657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Establecer los estándares de Seguridad Industrial aplicables para disminuir los factores de riesgo ocupacionales que puedan propiciar la ocurrencia de accidentes y enfermedades laborales o que puedan generar daños a la propiedad y al medio ambiente. </w:t>
      </w:r>
    </w:p>
    <w:p w14:paraId="6F02E0F2"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Unificar las buenas prácticas de Seguridad Industrial, Higiene, Salud Ocupacional y Medio Ambiente en las labores y actividades desarrolladas por las empresas contratistas para la UDFJC. </w:t>
      </w:r>
    </w:p>
    <w:p w14:paraId="5C7C85C5"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Comprometer a las empresas contratistas, subcontratistas y sus colaboradores con el cumplimiento de los procedimientos y normas descritos en este manual. </w:t>
      </w:r>
    </w:p>
    <w:p w14:paraId="3024B919" w14:textId="77777777" w:rsidR="008B04FF" w:rsidRPr="00ED7DE0" w:rsidRDefault="008B04FF" w:rsidP="008B04FF">
      <w:pPr>
        <w:pStyle w:val="Prrafodelista"/>
        <w:suppressAutoHyphens w:val="0"/>
        <w:spacing w:after="200"/>
        <w:ind w:left="720"/>
        <w:contextualSpacing/>
        <w:rPr>
          <w:rFonts w:ascii="Tahoma" w:hAnsi="Tahoma" w:cs="Tahoma"/>
          <w:sz w:val="20"/>
          <w:szCs w:val="20"/>
        </w:rPr>
      </w:pPr>
    </w:p>
    <w:p w14:paraId="0BDDC874"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 xml:space="preserve">1.2.3 ALCANCE </w:t>
      </w:r>
    </w:p>
    <w:p w14:paraId="565FD1D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Este manual debe ser aceptado, divulgado y aplicado por los contratistas que desarrollen procesos de construcción, adecuación y demás proyectos de gran escala en cualquiera de las sedes de la Universidad. </w:t>
      </w:r>
    </w:p>
    <w:p w14:paraId="3502452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Así mismo, este manual abarca los temas relacionados con la promoción de la salud, la prevención de riesgos laborales, la higiene ocupacional, la preservación del medio ambiente y la calidad de las obras. </w:t>
      </w:r>
    </w:p>
    <w:p w14:paraId="3323C269"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 POLITICAS</w:t>
      </w:r>
    </w:p>
    <w:p w14:paraId="7DE5F66E"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1.2.4.1 POLÍTICA AMBIENTAL </w:t>
      </w:r>
    </w:p>
    <w:p w14:paraId="7A2BD451"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Universidad Distrital Francisco José de Caldas, se compromete a incorporar la ética ambiental a todas las actividades docentes, investigativas y de servicios desarrolladas en sus diferentes sedes, para hacerlas compatibles con la protección del medio ambiente en concordancia con su actividad visional y misional; con este objetivo ha decidido adoptar el Plan Institucional de Gestión Ambiental –PIGA-.</w:t>
      </w:r>
    </w:p>
    <w:p w14:paraId="7E7D1917"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1.2.4.2 RESPONSABILIDADES DEL CONTRATISTA</w:t>
      </w:r>
    </w:p>
    <w:p w14:paraId="20387654"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Cumplir con los requisitos legales vigentes en el país en materia de S&amp;SO y ambiental y los contenidos en el presente manual, además de los que UDFJC suscriba dentro del respectivo contrato con las empresas contratistas. </w:t>
      </w:r>
    </w:p>
    <w:p w14:paraId="31202871"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Las empresas contratistas deberán presentar al supervisor del contrato de la División de Recursos Físicos – DRF el Plan Básico Legal de S&amp;SO, el cual se compone de: </w:t>
      </w:r>
    </w:p>
    <w:p w14:paraId="39BC4C2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Sistema de Gestión de la Seguridad y Salud en El trabajo antes conocido como Programa de Salud Ocupacional firmado por el representante legal de la empresa contratista y por un profesional en S&amp;SO con licencia en Salud Ocupacional vigente. </w:t>
      </w:r>
    </w:p>
    <w:p w14:paraId="07C2F4A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Matriz de peligros actualizada y de acuerdo a las actividades que se irán a desarrollar en el objeto del contrato suscrito entre el contratista y la UDFJC. </w:t>
      </w:r>
    </w:p>
    <w:p w14:paraId="5D3054C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Comité Paritario de Salud Ocupacional (COPASST) o Vigía de Salud Ocupacional según sea el caso y deberá permanecer vigente. Mensualmente la empresa contratista deberá presentar a la supervisión del contrato las actas de reunión del COPASST o del vigía de Salud Ocupacional, en donde se evidencie la implementación del programa de salud ocupacional, el seguimiento a las mejoras del sistema de Salud Ocupacional y el compromiso gerencial de la empresa contratista.</w:t>
      </w:r>
    </w:p>
    <w:p w14:paraId="22313348"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Comité De Convivencia de acuerdo a la Resolución 652 y 1356 de 2012; el contratista deberá mantener activo y vigente dicho comité y mantener las actas que así lo demuestren. </w:t>
      </w:r>
    </w:p>
    <w:p w14:paraId="5489149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Dar cumplimiento al reglamento de higiene, Seguridad y Salud Ocupacional de la Universidad. </w:t>
      </w:r>
    </w:p>
    <w:p w14:paraId="29E7D0FB" w14:textId="77777777" w:rsidR="008B04FF" w:rsidRPr="00ED7DE0" w:rsidRDefault="008B04FF" w:rsidP="008B04FF">
      <w:pPr>
        <w:pStyle w:val="Default"/>
        <w:rPr>
          <w:color w:val="auto"/>
          <w:sz w:val="20"/>
          <w:szCs w:val="20"/>
        </w:rPr>
      </w:pPr>
      <w:r w:rsidRPr="00ED7DE0">
        <w:rPr>
          <w:color w:val="auto"/>
          <w:sz w:val="20"/>
          <w:szCs w:val="20"/>
        </w:rPr>
        <w:t xml:space="preserve">En el manejo de la gestión ambiental el contratista debe comprometerse a cumplir las directrices que existen en las obras sobre las actividades de: </w:t>
      </w:r>
    </w:p>
    <w:p w14:paraId="3D48E4C8" w14:textId="77777777" w:rsidR="008B04FF" w:rsidRPr="00ED7DE0" w:rsidRDefault="008B04FF" w:rsidP="008B04FF">
      <w:pPr>
        <w:pStyle w:val="Default"/>
        <w:ind w:left="720"/>
        <w:rPr>
          <w:color w:val="auto"/>
          <w:sz w:val="20"/>
          <w:szCs w:val="20"/>
        </w:rPr>
      </w:pPr>
    </w:p>
    <w:p w14:paraId="307D9DF4"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de residuos o desechos (separación en la fuente, almacenamiento). </w:t>
      </w:r>
    </w:p>
    <w:p w14:paraId="5E21768D"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Uso racional de los recursos agua y energía. </w:t>
      </w:r>
    </w:p>
    <w:p w14:paraId="44CDE20E"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Vertimientos. </w:t>
      </w:r>
    </w:p>
    <w:p w14:paraId="2965FCF8"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Orden y aseo.</w:t>
      </w:r>
    </w:p>
    <w:p w14:paraId="48A66D51"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Control de emisiones atmosféricas. </w:t>
      </w:r>
    </w:p>
    <w:p w14:paraId="33BC913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adecuado de productos químicos. </w:t>
      </w:r>
    </w:p>
    <w:p w14:paraId="641CE90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Plan de Manejo de tránsito cuando le aplique. </w:t>
      </w:r>
    </w:p>
    <w:p w14:paraId="4425059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Protección de la fauna y la flora de especies existente en la obra. </w:t>
      </w:r>
    </w:p>
    <w:p w14:paraId="5B544D57" w14:textId="77777777" w:rsidR="008B04FF" w:rsidRPr="00ED7DE0" w:rsidRDefault="008B04FF" w:rsidP="008B04FF">
      <w:pPr>
        <w:pStyle w:val="Prrafodelista"/>
        <w:ind w:left="0"/>
        <w:rPr>
          <w:rFonts w:ascii="Tahoma" w:hAnsi="Tahoma" w:cs="Tahoma"/>
          <w:sz w:val="20"/>
          <w:szCs w:val="20"/>
        </w:rPr>
      </w:pPr>
    </w:p>
    <w:p w14:paraId="4C27FA7E"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1.2.4.3 RESPONSABILIDAD SOBRE EL CONTRATO POR PARTE DEL CONTRATISTA</w:t>
      </w:r>
    </w:p>
    <w:p w14:paraId="34C17F3A" w14:textId="77777777" w:rsidR="008B04FF" w:rsidRPr="00ED7DE0" w:rsidRDefault="008B04FF" w:rsidP="008B04FF">
      <w:pPr>
        <w:pStyle w:val="Default"/>
        <w:jc w:val="both"/>
        <w:rPr>
          <w:color w:val="auto"/>
          <w:sz w:val="20"/>
          <w:szCs w:val="20"/>
        </w:rPr>
      </w:pPr>
      <w:r w:rsidRPr="00ED7DE0">
        <w:rPr>
          <w:color w:val="auto"/>
          <w:sz w:val="20"/>
          <w:szCs w:val="20"/>
        </w:rPr>
        <w:t>El presente documento hace parte integral del contrato y se presentará en los diferentes pliegos de cotización. Es responsabilidad del contratista calcular los costos para asegurar la implementación de este instructivo, haciendo énfasis en los procedimientos de Seguridad y Salud Ocupacional, ambiental y calidad que le apliquen con base en los riegos del oficio o proceso para el que este licitando; estos costos deberán ser incluidos en dicha propuesta.</w:t>
      </w:r>
    </w:p>
    <w:p w14:paraId="7E3AAA89"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2BAD3B23" w14:textId="77777777" w:rsidR="008B04FF" w:rsidRPr="00ED7DE0" w:rsidRDefault="008B04FF" w:rsidP="008B04FF">
      <w:pPr>
        <w:autoSpaceDE w:val="0"/>
        <w:autoSpaceDN w:val="0"/>
        <w:adjustRightInd w:val="0"/>
        <w:rPr>
          <w:rFonts w:ascii="Tahoma" w:hAnsi="Tahoma" w:cs="Tahoma"/>
          <w:sz w:val="20"/>
          <w:szCs w:val="20"/>
        </w:rPr>
      </w:pPr>
      <w:r w:rsidRPr="00ED7DE0">
        <w:rPr>
          <w:rFonts w:ascii="Tahoma" w:hAnsi="Tahoma" w:cs="Tahoma"/>
          <w:sz w:val="20"/>
          <w:szCs w:val="20"/>
        </w:rPr>
        <w:t xml:space="preserve">Previo al inicio de las actividades, los contratistas deberán presentar al supervisor del contrato de la Universidad FJC los siguientes documentos: </w:t>
      </w:r>
    </w:p>
    <w:p w14:paraId="2FC280D0"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53D46FE5"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Afiliaciones o planillas de pago a la seguridad social integral. </w:t>
      </w:r>
    </w:p>
    <w:p w14:paraId="17D59736"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Certificado de aptitud médica vigente y apropiado de acuerdo al tipo de riesgo o actividad, especialmente si se trata de trabajos en alturas. </w:t>
      </w:r>
    </w:p>
    <w:p w14:paraId="78169F1F"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Exámenes médicos pre-empleo, los cuales deberán ser realizados por médicos especialistas en Salud Ocupacional con licencia vigente. Estos exámenes correrán por cuenta del contratista, dando cumplimiento a la Resolución 1918 del 5 de junio de 2009. </w:t>
      </w:r>
    </w:p>
    <w:p w14:paraId="16E3646C"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requerirse por el médico que practique la evaluación médica de pre-empleo, el contratista deberá realizar exámenes médicos complementarios para tareas de alto riesgo (trabajos en alturas, excavaciones que superen los 1,5 m, espacios confinados, trabajos en caliente, trabajos con energías peligrosas) o para actividades en donde los factores de riesgo presentes en los puestos de trabajo superen los límites permisibles. </w:t>
      </w:r>
    </w:p>
    <w:p w14:paraId="2C9035F6"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3372F715"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b/>
          <w:sz w:val="20"/>
          <w:szCs w:val="20"/>
        </w:rPr>
        <w:t>NOTA</w:t>
      </w:r>
      <w:r w:rsidRPr="00ED7DE0">
        <w:rPr>
          <w:rFonts w:ascii="Tahoma" w:hAnsi="Tahoma" w:cs="Tahoma"/>
          <w:sz w:val="20"/>
          <w:szCs w:val="20"/>
        </w:rPr>
        <w:t>: El certificado de aptitud médica deberá decir el oficio para el cual está avalado el colaborador, especialmente para los trabajos en alturas y espacios confinados y demás; es potestad del médico practicante de la evaluación, determinar el tipo de exámenes a realizar en cada caso. Por ningún motivo se deberán entregar resultados de exámenes médicos ni elementos propios de la historia clínica ocupacional del colaborador.</w:t>
      </w:r>
    </w:p>
    <w:p w14:paraId="5C7DBCDD" w14:textId="77777777" w:rsidR="008B04FF" w:rsidRPr="00ED7DE0" w:rsidRDefault="008B04FF" w:rsidP="008B04FF">
      <w:pPr>
        <w:autoSpaceDE w:val="0"/>
        <w:autoSpaceDN w:val="0"/>
        <w:adjustRightInd w:val="0"/>
        <w:rPr>
          <w:rFonts w:ascii="Tahoma" w:hAnsi="Tahoma" w:cs="Tahoma"/>
          <w:sz w:val="20"/>
          <w:szCs w:val="20"/>
        </w:rPr>
      </w:pPr>
    </w:p>
    <w:p w14:paraId="5EC35B20"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 persona encargada de administrar el contrato por parte de la empresa contratista deberá asistir a la reunión de inicio de obra, en donde se entregará y socializará este documento y previo al inicio </w:t>
      </w:r>
      <w:r w:rsidRPr="00ED7DE0">
        <w:rPr>
          <w:rFonts w:ascii="Tahoma" w:hAnsi="Tahoma" w:cs="Tahoma"/>
          <w:sz w:val="20"/>
          <w:szCs w:val="20"/>
        </w:rPr>
        <w:lastRenderedPageBreak/>
        <w:t xml:space="preserve">de actividades a ejecutar por la empresa contratista, se deberá dejar firmada el acta de aceptación y compromiso de cumplimiento de las normas contenidas en este instructivo. </w:t>
      </w:r>
    </w:p>
    <w:p w14:paraId="078BC999"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1.2.4.4 INDUCCIÓN EN SEGURIDAD &amp; SALUD OCUPACIONAL Y MEDIO AMBIENTE POR PARTE DE LA UNIVERSIDAD </w:t>
      </w:r>
    </w:p>
    <w:p w14:paraId="18C1A66F"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Antes de iniciar sus labores, el personal que ingresa a la obra como contratista o subcontratista, deberá asistir a la inducción de Seguridad y salud ocupacional y medio ambiente, la cual será requisito para poder laborar al interior de la sede o donde se realice la obra. Los registros de asistencia se conservarán en los archivos de cada proyecto.</w:t>
      </w:r>
    </w:p>
    <w:p w14:paraId="581ABE79" w14:textId="77777777" w:rsidR="008B04FF" w:rsidRPr="00ED7DE0" w:rsidRDefault="008B04FF" w:rsidP="008B04FF">
      <w:pPr>
        <w:pStyle w:val="Prrafodelista"/>
        <w:autoSpaceDE w:val="0"/>
        <w:autoSpaceDN w:val="0"/>
        <w:adjustRightInd w:val="0"/>
        <w:spacing w:after="0"/>
        <w:ind w:left="0"/>
        <w:rPr>
          <w:rFonts w:ascii="Tahoma" w:hAnsi="Tahoma" w:cs="Tahoma"/>
          <w:sz w:val="20"/>
          <w:szCs w:val="20"/>
        </w:rPr>
      </w:pPr>
      <w:r w:rsidRPr="00ED7DE0">
        <w:rPr>
          <w:rFonts w:ascii="Tahoma" w:hAnsi="Tahoma" w:cs="Tahoma"/>
          <w:b/>
          <w:sz w:val="20"/>
          <w:szCs w:val="20"/>
        </w:rPr>
        <w:t xml:space="preserve">1.2.4.5 </w:t>
      </w:r>
      <w:r w:rsidRPr="00ED7DE0">
        <w:rPr>
          <w:rFonts w:ascii="Tahoma" w:hAnsi="Tahoma" w:cs="Tahoma"/>
          <w:b/>
          <w:bCs/>
          <w:sz w:val="20"/>
          <w:szCs w:val="20"/>
        </w:rPr>
        <w:t>REGLAS GENERALES DE TRABAJO PARA CONTRATISTAS/ SUBCONTRATISTAS Y SUS EMPLEADOS.</w:t>
      </w:r>
    </w:p>
    <w:p w14:paraId="150A131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Las reglas, normas y estándares de Seguridad y Salud Ocupacional y medio ambiente en este procedimiento están diseñadas para ayudar a desempeñar los deberes minimizando los riesgos de accidentes, enfermedades de origen profesional e impactos al medio ambiente; estas deben ser cumplidas en todo momento como condición de empleo. El incumplimiento de éstas se considera como una falta disciplinaria grave que atenta contra la Política integral y deberá ser sancionada según lo establezca el supervisor del contrato. </w:t>
      </w:r>
    </w:p>
    <w:p w14:paraId="3E8BC2E8"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En los casos en que un colaborador sea retirado de la obra por faltas reiterativas o por una causa considerada como grave desde lo establecido por el supervisor del contrato, esta persona no podrá ser reubicada en otro proyecto de que se ejecute con la Universidad Distrital. </w:t>
      </w:r>
    </w:p>
    <w:p w14:paraId="12C11ECB"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1.2.4.6 OBLIGACIONES PARA LOS COLABORADORES DE LAS EMPRESAS CONTRATISTAS Y SUS SUBCONTRATISTAS: </w:t>
      </w:r>
    </w:p>
    <w:p w14:paraId="15C7036D"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Recibir inducción sobre normas de S&amp;SO y medio ambiente por parte de la Universidad Distrital.</w:t>
      </w:r>
    </w:p>
    <w:p w14:paraId="0EDB307C"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Ingresar por la portería indicada por la Universidad en cada una de las sedes e identificarse como el contratista. </w:t>
      </w:r>
    </w:p>
    <w:p w14:paraId="09DFCE41"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Permitir la requisa de bolsos, maletines y paquetes por parte del personal de Vigilancia contratado por la Universidad.</w:t>
      </w:r>
    </w:p>
    <w:p w14:paraId="69F858D8"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Usar ropa de trabajo adecuada (usar camisas que cubran los hombros y el torso, pantalones largos y zapatos acordes con el tipo de riesgo) y todos los elementos de protección según sea el caso. </w:t>
      </w:r>
    </w:p>
    <w:p w14:paraId="77755060"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Diseñar, instalar, conservar, respetar y acatar la demarcación de tránsito vehicular y peatonal, las zonas de trabajo y de riesgo, las señales preventivas, reglamentarias e informativas dispuestas en cada proyecto, para advertir posibles riesgos en los lugares de trabajo y disminuir así posibles accidentes y enfermedades profesionales. </w:t>
      </w:r>
    </w:p>
    <w:p w14:paraId="6A996104"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Informar al área de SG-SST sobre la existencia de riesgos presentes en los lugares de trabajo, la ocurrencia de accidentes e incidentes durante la ejecución del trabajo. </w:t>
      </w:r>
    </w:p>
    <w:p w14:paraId="192BD742"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presentarse un accidente de trabajo, el contratista es el responsable de la atención médica del accidentado, de la investigación del evento y del posterior reporte del presunto AT a la ARL; El contratista deberá suministrar al área SG-SST de la Universidad Distrital copia de la investigación, del reporte del presunto accidente de trabajo y de la(s) incapacidad(es) que sobrevenga(n) por dicho evento para ser archivadas en la carpeta del contrato, la empresa contratista deberá tomar las acciones correctivas para evitar recurrencia de este tipo de eventos. Res. 1401 de mayo de 2007 “Investigación de incidentes y accidentes de trabajo”. </w:t>
      </w:r>
    </w:p>
    <w:p w14:paraId="41EDBBAB" w14:textId="77777777" w:rsidR="008B04FF" w:rsidRPr="00ED7DE0" w:rsidRDefault="008B04FF" w:rsidP="008B04FF">
      <w:pPr>
        <w:rPr>
          <w:rFonts w:ascii="Tahoma" w:hAnsi="Tahoma" w:cs="Tahoma"/>
          <w:b/>
          <w:sz w:val="20"/>
          <w:szCs w:val="20"/>
        </w:rPr>
      </w:pPr>
    </w:p>
    <w:p w14:paraId="58456DE7" w14:textId="77777777" w:rsidR="008B04FF" w:rsidRPr="00ED7DE0" w:rsidRDefault="008B04FF" w:rsidP="008B04FF">
      <w:pPr>
        <w:ind w:left="360"/>
        <w:jc w:val="both"/>
        <w:rPr>
          <w:rFonts w:ascii="Tahoma" w:hAnsi="Tahoma" w:cs="Tahoma"/>
          <w:b/>
          <w:sz w:val="20"/>
          <w:szCs w:val="20"/>
        </w:rPr>
      </w:pPr>
      <w:r w:rsidRPr="00ED7DE0">
        <w:rPr>
          <w:rFonts w:ascii="Tahoma" w:hAnsi="Tahoma" w:cs="Tahoma"/>
          <w:b/>
          <w:sz w:val="20"/>
          <w:szCs w:val="20"/>
        </w:rPr>
        <w:lastRenderedPageBreak/>
        <w:t>1.2.4.7 REQUISITOS AMBIENTALES PARA LAS OBRAS EJECUTADAS POR LA DIVISIÓN DE RECURSOS FÍSICOS UNIVERSIDAD DISTRITAL FRANCISCO JOSÉ DE CALDAS</w:t>
      </w:r>
    </w:p>
    <w:p w14:paraId="7A962E8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División de Recursos Físicos – DRF, como responsable de la administración, planeación, organización de los bienes de la Universidad, así como de la dirección y control de las actividades y programas conducentes a la adecuada prestación de servicios generales que requiera la institución, se permite generar el presente documento, en el cual se contempla la información ambiental legal que se debe tener en cuenta a la hora de iniciar cualquier tipo de obra civil por parte de terceros.</w:t>
      </w:r>
    </w:p>
    <w:p w14:paraId="6E82E0C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 el presente documento, se pretende estandarizar los requerimientos de tipo ambiental que se deben tener en cuenta en cualquier obra nueva, de adecuación, modificación, ampliación y demás que se realicen en la universidad y que estén a cargo de la DRF, mediante el cumplimiento la Política Ambiental de la Universidad Distrital Francisco José de Caldas, aprobada mediante la Resolución 474 de 2015, donde se establece la política del Subsistema de Gestión Ambiental o aquella que modifique o sustituya y la Resolución 300 de 2015: Por medio del cual se aprueba y adoptan las Directivas Ambientales Institucionales para la Universidad Distrital Francisco José de Caldas.</w:t>
      </w:r>
    </w:p>
    <w:p w14:paraId="2DF725D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de conformidad al Decreto Ley 2811 de 1974, por medio del cual se dicta el Código Nacional de Recursos Naturales Renovables y de Protección al Medio Ambiente, el Estado y los particulares deben participar en la preservación y manejo de los recursos naturales renovables, y la Ley 99 del 1993, por la cual se crea el Ministerio del Medio Ambiente, se reordena el Sector Público encargado de la gestión y conservación del medio ambiente, y los recursos naturales renovables, se organiza el Sistema Nacional Ambiental SINA, y se dictan otras disposiciones y se establece la política ambiental nacional para la conservación de los recursos naturales renovables. </w:t>
      </w:r>
    </w:p>
    <w:p w14:paraId="7D745FD4"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Las cosas así, todos los proyectos deben tener una clara identificación de los impactos ambientales que se generen en el desarrollo del mismo, adicionalmente se deben establecer los controles necesarios para su mitigación. De acuerdo a las características del proyecto y se deben tramitar las licencias y permisos necesarios para el desarrollo del mismo. </w:t>
      </w:r>
    </w:p>
    <w:p w14:paraId="748D5255" w14:textId="77777777" w:rsidR="008B04FF" w:rsidRPr="00ED7DE0" w:rsidRDefault="008B04FF" w:rsidP="008B04FF">
      <w:pPr>
        <w:rPr>
          <w:rFonts w:ascii="Tahoma" w:hAnsi="Tahoma" w:cs="Tahoma"/>
          <w:b/>
          <w:sz w:val="20"/>
          <w:szCs w:val="20"/>
        </w:rPr>
      </w:pPr>
      <w:r w:rsidRPr="00ED7DE0">
        <w:rPr>
          <w:rFonts w:ascii="Tahoma" w:hAnsi="Tahoma" w:cs="Tahoma"/>
          <w:sz w:val="20"/>
          <w:szCs w:val="20"/>
        </w:rPr>
        <w:t xml:space="preserve"> </w:t>
      </w:r>
      <w:r w:rsidRPr="00ED7DE0">
        <w:rPr>
          <w:rFonts w:ascii="Tahoma" w:hAnsi="Tahoma" w:cs="Tahoma"/>
          <w:b/>
          <w:sz w:val="20"/>
          <w:szCs w:val="20"/>
        </w:rPr>
        <w:t>1.2.4.8 USO EFICIENTE DE AGUAS</w:t>
      </w:r>
    </w:p>
    <w:p w14:paraId="6C9C6CB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proyectos estructurales en la Universidad, se debe garantizar la incorporación de sistemas de aprovechamiento y/o reúso de aguas (origen superficial, subterráneo o lluvias) en el desarrollo de sus diferentes actividades.</w:t>
      </w:r>
    </w:p>
    <w:p w14:paraId="48032FE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Para garantizar el funcionamiento de este tipo de sistemas se deben contemplar los componentes relacionados con la captación, recolección, interceptor y almacenamiento, con lo cual se logrará garantizar que el agua proveniente de la lluvia puede ser utilizada en actividades relacionadas con:</w:t>
      </w:r>
    </w:p>
    <w:p w14:paraId="3D5163C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Descarga de sanitarios, lavado de pisos y riego de zonas verdes (Incorporando los tratamientos necesarios para que el agua, no afecte las instalaciones hidrosanitarias de la edificación, ni la salud pública).</w:t>
      </w:r>
    </w:p>
    <w:p w14:paraId="766E496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0002A20E"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373 de 1997 (Artículo 5. </w:t>
      </w:r>
      <w:r w:rsidRPr="00ED7DE0">
        <w:rPr>
          <w:rFonts w:ascii="Tahoma" w:hAnsi="Tahoma" w:cs="Tahoma"/>
          <w:i/>
          <w:sz w:val="20"/>
          <w:szCs w:val="20"/>
        </w:rPr>
        <w:t>Reúso obligatorio del agua</w:t>
      </w:r>
      <w:r w:rsidRPr="00ED7DE0">
        <w:rPr>
          <w:rFonts w:ascii="Tahoma" w:hAnsi="Tahoma" w:cs="Tahoma"/>
          <w:sz w:val="20"/>
          <w:szCs w:val="20"/>
        </w:rPr>
        <w:t>): Por la cual se establece el programa para el uso eficiente y ahorro del agua por parte del Ministerio de Ambiente y Desarrollo Sostenible.</w:t>
      </w:r>
    </w:p>
    <w:p w14:paraId="000F9808"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3102 de 1997, expedido por el Presidente de la Republica, reglamenta el artículo 15 de la Ley 373 de 1997, en relación con la instalación de equipos, sistemas e implementos de bajo consumo de agua.</w:t>
      </w:r>
    </w:p>
    <w:p w14:paraId="71480D13"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lastRenderedPageBreak/>
        <w:t>Resolución CRA 726 de 2015, en su artículo 3, la Comisión de Regulación de Agua Potable y Saneamiento Básico, adopta medidas para promover el uso eficiente y el ahorro del agua potable, así como para desincentivar su consumo excesivo.</w:t>
      </w:r>
    </w:p>
    <w:p w14:paraId="742A72FB"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1.2.4.9 AGUAS VERTIMIENTOS</w:t>
      </w:r>
    </w:p>
    <w:p w14:paraId="1B89F58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Cuando se realice la instalación de redes sanitarias, que provengan de áreas que generen un vertimiento de agua residual no doméstica, se deberán contemplar dispositivos para realizar previo tratamiento.</w:t>
      </w:r>
    </w:p>
    <w:p w14:paraId="169E117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No se debe realizar ningún tipo de vertimiento al sistema de alcantarillado público derivado del desarrollo del contrato, en caso de generar aguas con presencia de contaminantes, será responsabilidad del contratista su manejo y disposición final dejando indemne a la Universidad Distrital.</w:t>
      </w:r>
    </w:p>
    <w:p w14:paraId="4911DE7F"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3957 DE 2009, de la Secretaría Distrital de Ambiente, por la cual se establece la norma técnica, para el control y manejo de los vertimientos realizados a la red de alcantarillado público en el Distrito Capital.</w:t>
      </w:r>
    </w:p>
    <w:p w14:paraId="4D91922A"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3956 DE 2009, de la Secretaría Distrital de Ambiente, Por la cual se establece la norma técnica, para el control y manejo de los vertimientos realizados al recurso hídrico en el Distrito Capital.</w:t>
      </w:r>
    </w:p>
    <w:p w14:paraId="64A141E7"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196A234C"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1.2.4.10 USO EFICIENTE DE LA ENERGÍA</w:t>
      </w:r>
    </w:p>
    <w:p w14:paraId="17D8CF1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Incluir en el desarrollo del proyecto, elementos de protección solar y materiales de construcción que permitan disminuir la temperatura de los espacios en los que se está llevando a cabo las obras.</w:t>
      </w:r>
    </w:p>
    <w:p w14:paraId="738C51F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la obra, implementar acciones que permitan el aprovechamiento de luz y ventilación natural, debe aprovecharse al máximo la iluminación natural.</w:t>
      </w:r>
    </w:p>
    <w:p w14:paraId="6931FAB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el contratista utiliza equipos de consumo eléctrico, para la construcción de la edificación, estos deben ser de bajo consumo de energía donde se puede corroborar mediante la etiqueta de eficiencia energética o por medio de sus especificaciones técnicas de la marca adquirida.</w:t>
      </w:r>
    </w:p>
    <w:p w14:paraId="3D6C84D1"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Instalar dispositivos de bajo consumo de energía, emplear fuentes lumínicas de la más alta tecnología, sistemas que permitan disminuir el consumo con tecnología inteligente según aplique, por ejemplo: atenuadores, temporizadores, fotoceldas, reloj programable, sensores, entre otros. </w:t>
      </w:r>
    </w:p>
    <w:p w14:paraId="0730183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Contemplar en el desarrollo de la obra el uso de energías alternativas en la edificación o un porcentaje de esta, por ejemplo, energía solar fotovoltaica, energía solar térmica (si aplica), o eólica.</w:t>
      </w:r>
    </w:p>
    <w:p w14:paraId="5B1D20F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encargado debe instalar un medidor temporal de energía o en su defecto pagar un porcentaje del valor facturado por concepto de consumo.</w:t>
      </w:r>
    </w:p>
    <w:p w14:paraId="07856AD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245F55F3"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1285 de 2015 y su resolución reglamentaria 549 de 2015, el Ministerio de Vivienda, Ciudad y Territorio establece los criterios para el ahorro de agua y energía en edificaciones.</w:t>
      </w:r>
    </w:p>
    <w:p w14:paraId="78712171"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Tener prácticas de uso racional de la energía de acuerdo a lo expuesto en la Resolución 300 del 2015 y la Resolución 580 de 2016 en cuanto al Documento de Gestión Eficiente de la Energía Eléctrica en la Universidad Distrital Francisco José de Caldas.</w:t>
      </w:r>
    </w:p>
    <w:p w14:paraId="271CE7E9"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697 de 2001, el Congreso de la Republica fomenta el uso racional y eficiente de la energía, además de que promueve la utilización de fuentes energéticas no convencionales. </w:t>
      </w:r>
    </w:p>
    <w:p w14:paraId="1AF992DD"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lastRenderedPageBreak/>
        <w:t>Decreto Nacional 1073 de 2015 (Decreto Único Reglamentario del Sector Administrativo de Minas y Energía), establece, en el Artículo 2.2.3.6.4.1, que "las medidas señaladas en el presente Decreto para propiciar el uso racional y eficiente de energía eléctrica aplicarán...", según su numeral 39, en las edificaciones donde funcionen entidades públicas.</w:t>
      </w:r>
    </w:p>
    <w:p w14:paraId="7383EB1E"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Reglamento técnico de instalaciones eléctricas – RETIE.</w:t>
      </w:r>
    </w:p>
    <w:p w14:paraId="26DFDF00" w14:textId="77777777" w:rsidR="008B04FF" w:rsidRPr="00ED7DE0" w:rsidRDefault="008B04FF" w:rsidP="008B04FF">
      <w:pPr>
        <w:shd w:val="clear" w:color="auto" w:fill="FFFFFF"/>
        <w:textAlignment w:val="baseline"/>
        <w:rPr>
          <w:rFonts w:ascii="Tahoma" w:hAnsi="Tahoma" w:cs="Tahoma"/>
          <w:b/>
          <w:sz w:val="20"/>
          <w:szCs w:val="20"/>
        </w:rPr>
      </w:pPr>
      <w:r w:rsidRPr="00ED7DE0">
        <w:rPr>
          <w:rFonts w:ascii="Tahoma" w:hAnsi="Tahoma" w:cs="Tahoma"/>
          <w:b/>
          <w:sz w:val="20"/>
          <w:szCs w:val="20"/>
        </w:rPr>
        <w:t>1.2.4.11 GESTIÓN INTEGRAL DE RESIDUOS SOLIDOS</w:t>
      </w:r>
    </w:p>
    <w:p w14:paraId="757ADBA3"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El contratista, deberá realizar la recolección de los residuos generados en cada una de las actividades, de acuerdo con el código de colores de la Universidad; además de realizar la evacuación de los mismos, con un gestor autorizado.</w:t>
      </w:r>
    </w:p>
    <w:p w14:paraId="0548F7DA"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Todos los residuos generados (ordinarios, reutilizables, reciclables, peligrosos, especiales y demás), deben ser gestionados de forma adecuada, de acuerdo a sus características y de acuerdo a la normatividad ambiental vigente.</w:t>
      </w:r>
    </w:p>
    <w:p w14:paraId="5B590E95"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Se debe tener en cuenta la destinación de los espacios, desarrollo de actividades, cantidad de personas; con el fin de proyectar la cantidad de residuos generados y su tipo; con el fin de asignar espacio físico para el correspondiente almacenamiento de los mismos, separado de acuerdo al tipo.</w:t>
      </w:r>
    </w:p>
    <w:p w14:paraId="0291404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195C791B"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Decreto 400 de 2004, de la Alcaldía Mayor de Bogotá, impulsa el aprovechamiento eficiente de los residuos sólidos producidos en las entidades distritales. </w:t>
      </w:r>
    </w:p>
    <w:p w14:paraId="0B9EBDF5"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2981 DE 2013, de la presidencia de la república por el cual se reglamenta la prestación del servicio público de aseo.</w:t>
      </w:r>
    </w:p>
    <w:p w14:paraId="63EA0C82"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24EED362" w14:textId="77777777" w:rsidR="008B04FF" w:rsidRPr="00ED7DE0" w:rsidRDefault="008B04FF" w:rsidP="008B04FF">
      <w:pPr>
        <w:shd w:val="clear" w:color="auto" w:fill="FFFFFF"/>
        <w:textAlignment w:val="baseline"/>
        <w:rPr>
          <w:rFonts w:ascii="Tahoma" w:hAnsi="Tahoma" w:cs="Tahoma"/>
          <w:sz w:val="20"/>
          <w:szCs w:val="20"/>
        </w:rPr>
      </w:pPr>
    </w:p>
    <w:p w14:paraId="79302F9D"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1.2.4.11.1 RESIDUOS PELIGROSOS</w:t>
      </w:r>
    </w:p>
    <w:p w14:paraId="489F922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realizar la gestión integral de residuos peligrosos generados en el desarrollo de la obra, estos deben ser tratados de manera adecuada de acuerdo a sus características según lo establezca la normatividad vigente.  </w:t>
      </w:r>
    </w:p>
    <w:p w14:paraId="2CB675E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4741 de 2005, de la Presidencia de la Republica, se reglamenta parcialmente la prevención y manejo de los residuos o desechos peligrosos generados en el marco de la gestión integral.</w:t>
      </w:r>
    </w:p>
    <w:p w14:paraId="6ED4E372"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78267AC8"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1.2.4.11.2 RESIDUOS DE CONSTRUCCIÓN Y DEMOLICIÓN – RCD´S   </w:t>
      </w:r>
    </w:p>
    <w:p w14:paraId="774139E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 obligación del contratista el retiro de los escombros y/o residuos de obra y material sobrante, los cuales deberán realizar la disposición final según las normas ambientales vigentes; además de presentar información relacionada con: datos del vehículo en el cual se movilizan los residuos y el sitio de disposición final o aprovechamiento de los mismos.</w:t>
      </w:r>
    </w:p>
    <w:p w14:paraId="1C5808E6"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El constructor y/o contratista, debe desarrollar programas tendientes al reciclaje y reutilización de residuos de construcción y demolición.</w:t>
      </w:r>
      <w:r w:rsidRPr="00ED7DE0">
        <w:rPr>
          <w:rFonts w:ascii="Tahoma" w:hAnsi="Tahoma" w:cs="Tahoma"/>
          <w:b/>
          <w:sz w:val="20"/>
          <w:szCs w:val="20"/>
        </w:rPr>
        <w:t xml:space="preserve"> </w:t>
      </w:r>
    </w:p>
    <w:p w14:paraId="785A244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embalar y almacenar los residuos de forma adecuada, teniendo en cuenta las rutas de evacuación.</w:t>
      </w:r>
    </w:p>
    <w:p w14:paraId="352E0DD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no debe realizar el almacenamiento o disposición de residuos en espacio público y en el caso de que se imponga algún tipo de multa o sanción, esta debe ser asumida por el mismo.</w:t>
      </w:r>
    </w:p>
    <w:p w14:paraId="42D58902" w14:textId="77777777" w:rsidR="008B04FF" w:rsidRPr="00ED7DE0" w:rsidRDefault="008B04FF" w:rsidP="008B04FF">
      <w:pPr>
        <w:jc w:val="both"/>
        <w:rPr>
          <w:rFonts w:ascii="Tahoma" w:hAnsi="Tahoma" w:cs="Tahoma"/>
          <w:sz w:val="20"/>
          <w:szCs w:val="20"/>
        </w:rPr>
      </w:pPr>
    </w:p>
    <w:p w14:paraId="14F5E96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elaborar el documento “Plan de Gestión de RCD en Obra”, con base en la Guía de Manejo que establezca la Secretaría Distrital de Ambiente para tal efecto, donde se incluirán las medidas para la separación de los residuos en obra, los planos de las instalaciones previstas para la separación y las disposiciones del pliego de prescripciones técnicas particulares del proyecto, en relación con la separación de los RCD dentro de la obra.</w:t>
      </w:r>
    </w:p>
    <w:p w14:paraId="39078F1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Tener en el sitio de obra o acopio un inventario actualizado permanentemente de la cantidad y tipo de RCD generados y/o poseídos; este inventario debe ser actualizado de forma mensual relacionando la siguiente información:</w:t>
      </w:r>
    </w:p>
    <w:p w14:paraId="72098FE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 Registro de todos los ingresos y salidas de RCD</w:t>
      </w:r>
    </w:p>
    <w:p w14:paraId="73E2078D"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Fecha de cada ingreso o salida</w:t>
      </w:r>
    </w:p>
    <w:p w14:paraId="41489173"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Origen (dirección y teléfono)</w:t>
      </w:r>
    </w:p>
    <w:p w14:paraId="1800D1E8"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firma del generador</w:t>
      </w:r>
    </w:p>
    <w:p w14:paraId="72815EAF"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Destino inmediato y final</w:t>
      </w:r>
    </w:p>
    <w:p w14:paraId="681A629F"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Tipo, volumen y peso</w:t>
      </w:r>
    </w:p>
    <w:p w14:paraId="57466220"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sello del transportador</w:t>
      </w:r>
    </w:p>
    <w:p w14:paraId="422F42D6"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de quien recibe y firma</w:t>
      </w:r>
    </w:p>
    <w:p w14:paraId="2A23E41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Generar un inventario de los residuos peligrosos provenientes de actividades de demolición, reparación o reforma, proceder a su retiro selectivo y entregar a gestores autorizados de residuos especiales; además de gestionar el transporte y disposición final con gestores externos autorizados, solicitando las certificaciones necesarias y entregarlas al supervisor del contrato y al profesional ambiental de la División de Recursos Físicos.</w:t>
      </w:r>
    </w:p>
    <w:p w14:paraId="3DF1D96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trabajar únicamente con transportadores inscritos en la página web de la SDA y que hayan obtenido su respectivo PIN. Los transportadores de RCD deberán notificar su actividad ante la Secretaria Distrital de Ambiente mediante su inscripción en el Registro Web y la asignación de su respectivo PIN.</w:t>
      </w:r>
    </w:p>
    <w:p w14:paraId="022D8A0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2815DB75"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1115 de 2012, de la Secretaria Distrital de Ambiente, Por medio de la cual se adoptan los lineamientos Técnico - Ambientales para las actividades de aprovechamiento y tratamiento de los residuos de construcción y demolición en el Distrito Capital; además de la Resolución 932 de 2015, por la cual se modifica y Adiciona la Resolución 1115 de 2012, así mismo la Resolución 715 de 2013, por la cual se modifica la Resolución 1115 de 2012</w:t>
      </w:r>
    </w:p>
    <w:p w14:paraId="6990DCF6"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586 de 2015, de la Alcaldía Mayor de Bogotá, Por medio del cual se adopta el modelo eficiente y sostenible de gestión de los Residuos de Construcción y Demolición - RCD en Bogotá D.C.</w:t>
      </w:r>
    </w:p>
    <w:p w14:paraId="7579C8D1" w14:textId="77777777" w:rsidR="008B04FF" w:rsidRPr="00ED7DE0" w:rsidRDefault="008B04FF" w:rsidP="008B04FF">
      <w:pPr>
        <w:pStyle w:val="Prrafodelista"/>
        <w:numPr>
          <w:ilvl w:val="0"/>
          <w:numId w:val="2"/>
        </w:numPr>
        <w:suppressAutoHyphens w:val="0"/>
        <w:spacing w:after="200"/>
        <w:contextualSpacing/>
        <w:rPr>
          <w:rFonts w:ascii="Tahoma" w:hAnsi="Tahoma" w:cs="Tahoma"/>
          <w:b/>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 xml:space="preserve">2016, por la cual se expide el Código Nacional de Policía. </w:t>
      </w:r>
    </w:p>
    <w:p w14:paraId="5C19F901"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1.2.4.12 MANEJO DE ARBOLADO </w:t>
      </w:r>
    </w:p>
    <w:p w14:paraId="6B727799" w14:textId="77777777" w:rsidR="008B04FF" w:rsidRPr="00ED7DE0" w:rsidRDefault="008B04FF" w:rsidP="008B04FF">
      <w:pPr>
        <w:jc w:val="both"/>
        <w:rPr>
          <w:rFonts w:ascii="Tahoma" w:hAnsi="Tahoma" w:cs="Tahoma"/>
          <w:sz w:val="20"/>
          <w:szCs w:val="20"/>
        </w:rPr>
      </w:pPr>
    </w:p>
    <w:p w14:paraId="2163196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identificar e inventariar las especies vegetales, que se encuentren en al área a intervenir. </w:t>
      </w:r>
    </w:p>
    <w:p w14:paraId="71D3335A"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Si se requiere intervención silvicultural como arborización, tala, poda, bloqueo y traslado, manejo o aprovechamiento del arbolado urbano, se regirá por los lineamientos establecidos en el Manual de </w:t>
      </w:r>
      <w:r w:rsidRPr="00ED7DE0">
        <w:rPr>
          <w:rFonts w:ascii="Tahoma" w:hAnsi="Tahoma" w:cs="Tahoma"/>
          <w:sz w:val="20"/>
          <w:szCs w:val="20"/>
        </w:rPr>
        <w:lastRenderedPageBreak/>
        <w:t xml:space="preserve">Silvicultura Urbana, Zonas Verdes y Jardinería y ejecutará las intervenciones autorizadas, previo permiso otorgado por la Secretaría Distrital de Ambiente. </w:t>
      </w:r>
    </w:p>
    <w:p w14:paraId="4E65EBD8"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no se requiere ningún tipo de intervención silvicultural, se debe proteger las especies vegetales, a través de un cerramiento y velar por su cuidado y protección.</w:t>
      </w:r>
    </w:p>
    <w:p w14:paraId="3715A9E4" w14:textId="77777777" w:rsidR="008B04FF" w:rsidRPr="00ED7DE0" w:rsidRDefault="008B04FF" w:rsidP="008B04FF">
      <w:pPr>
        <w:jc w:val="both"/>
        <w:rPr>
          <w:rFonts w:ascii="Tahoma" w:hAnsi="Tahoma" w:cs="Tahoma"/>
          <w:sz w:val="20"/>
          <w:szCs w:val="20"/>
        </w:rPr>
      </w:pPr>
    </w:p>
    <w:p w14:paraId="5523634C"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531 de 2010, Por el cual se reglamenta la silvicultura urbana, zonas verdes y la jardinería en Bogotá y se definen las responsabilidades de las Entidades Distritales en relación con el tema y se dictan otras disposiciones.</w:t>
      </w:r>
    </w:p>
    <w:p w14:paraId="49A541C9"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1.2.4.13 VARIOS</w:t>
      </w:r>
    </w:p>
    <w:p w14:paraId="63D99A6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caso de realizar actividades de señalización de obras, tratamiento y manejo de cobertura vegetal, excavaciones, manejo de aguas superficiales durante las obras, transporte, manejo y disposición de escombros, manejo de equipos, desmantelamiento de instalaciones, etc., el contratista deberá adoptar los parámetros técnicos y de manejo ambiental contenidos en el Manual de Respeto al Ciudadano, adoptado por el Instituto de Desarrollo Urbano, así como la Guía de Manejo Ambiental para el desarrollo de proyectos de infraestructura urbana de Bogotá D.C., adoptado por el IDU y la autoridad ambiental urbana DAMA mediante Resolución No. 991 de 2001 y la Guía Ambiental del Plan Maestro de Seguridad (o la que se encuentre vigente).</w:t>
      </w:r>
    </w:p>
    <w:p w14:paraId="2E0642B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r w:rsidRPr="00ED7DE0">
        <w:rPr>
          <w:rFonts w:ascii="Tahoma" w:hAnsi="Tahoma" w:cs="Tahoma"/>
          <w:sz w:val="20"/>
          <w:szCs w:val="20"/>
        </w:rPr>
        <w:tab/>
      </w:r>
    </w:p>
    <w:p w14:paraId="4139DDF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ejecución de la construcción, lo mismo que el suministro de bienes y equipos por parte de EL CONSTRUCTOR, deberán cumplir los requisitos de las Normas del Instituto Colombiano de Normas Técnicas, ICONTEC, de la E.A.A.B. y de CODENSA, aplicables al proyecto.</w:t>
      </w:r>
    </w:p>
    <w:p w14:paraId="6404254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Los materiales de construcción, deben provenir de empresas u organizaciones responsables con el ambiente y/o preferir a aquellas empresas que cumplan con las normas técnicas colombianas ISO-NTC 9001, ISO-NTC 14001, NTC OSHAS 18001 y SA 8000. </w:t>
      </w:r>
    </w:p>
    <w:p w14:paraId="0E167CD2" w14:textId="77777777" w:rsidR="008B04FF" w:rsidRPr="00ED7DE0" w:rsidRDefault="008B04FF" w:rsidP="008B04FF">
      <w:pPr>
        <w:jc w:val="both"/>
        <w:rPr>
          <w:rFonts w:ascii="Tahoma" w:hAnsi="Tahoma" w:cs="Tahoma"/>
          <w:b/>
          <w:sz w:val="20"/>
          <w:szCs w:val="20"/>
        </w:rPr>
      </w:pPr>
    </w:p>
    <w:p w14:paraId="0FBF32F9" w14:textId="77777777" w:rsidR="008B04FF" w:rsidRPr="00ED7DE0" w:rsidRDefault="008B04FF" w:rsidP="008B04FF">
      <w:pPr>
        <w:jc w:val="both"/>
        <w:rPr>
          <w:rFonts w:ascii="Tahoma" w:hAnsi="Tahoma" w:cs="Tahoma"/>
          <w:b/>
          <w:sz w:val="20"/>
          <w:szCs w:val="20"/>
        </w:rPr>
      </w:pPr>
    </w:p>
    <w:p w14:paraId="35133427" w14:textId="77777777" w:rsidR="008B04FF" w:rsidRPr="00ED7DE0" w:rsidRDefault="008B04FF" w:rsidP="008B04FF">
      <w:pPr>
        <w:rPr>
          <w:rFonts w:ascii="Tahoma" w:hAnsi="Tahoma" w:cs="Tahoma"/>
          <w:sz w:val="20"/>
          <w:szCs w:val="20"/>
        </w:rPr>
      </w:pPr>
      <w:r w:rsidRPr="00ED7DE0">
        <w:rPr>
          <w:rFonts w:ascii="Tahoma" w:hAnsi="Tahoma" w:cs="Tahoma"/>
          <w:sz w:val="20"/>
          <w:szCs w:val="20"/>
        </w:rPr>
        <w:t>Atentamente,</w:t>
      </w:r>
    </w:p>
    <w:p w14:paraId="3CC490C3" w14:textId="77777777" w:rsidR="008B04FF" w:rsidRPr="00ED7DE0" w:rsidRDefault="008B04FF" w:rsidP="008B04FF">
      <w:pPr>
        <w:rPr>
          <w:rFonts w:ascii="Tahoma" w:hAnsi="Tahoma" w:cs="Tahoma"/>
          <w:sz w:val="20"/>
          <w:szCs w:val="20"/>
        </w:rPr>
      </w:pPr>
    </w:p>
    <w:p w14:paraId="5BF26573"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o Razón Social del Proponente: ____________________________</w:t>
      </w:r>
    </w:p>
    <w:p w14:paraId="7D2ADA18" w14:textId="77777777" w:rsidR="008B04FF" w:rsidRPr="00ED7DE0" w:rsidRDefault="008B04FF" w:rsidP="008B04FF">
      <w:pPr>
        <w:rPr>
          <w:rFonts w:ascii="Tahoma" w:hAnsi="Tahoma" w:cs="Tahoma"/>
          <w:sz w:val="20"/>
          <w:szCs w:val="20"/>
        </w:rPr>
      </w:pPr>
      <w:r w:rsidRPr="00ED7DE0">
        <w:rPr>
          <w:rFonts w:ascii="Tahoma" w:hAnsi="Tahoma" w:cs="Tahoma"/>
          <w:sz w:val="20"/>
          <w:szCs w:val="20"/>
        </w:rPr>
        <w:t>NIT: __________________________________________________________</w:t>
      </w:r>
    </w:p>
    <w:p w14:paraId="6FFDCB71"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del Representante Legal: __________________________________</w:t>
      </w:r>
    </w:p>
    <w:p w14:paraId="7672B0A6" w14:textId="77777777" w:rsidR="008B04FF" w:rsidRPr="00ED7DE0" w:rsidRDefault="008B04FF" w:rsidP="008B04FF">
      <w:pPr>
        <w:rPr>
          <w:rFonts w:ascii="Tahoma" w:hAnsi="Tahoma" w:cs="Tahoma"/>
          <w:sz w:val="20"/>
          <w:szCs w:val="20"/>
        </w:rPr>
      </w:pPr>
      <w:r w:rsidRPr="00ED7DE0">
        <w:rPr>
          <w:rFonts w:ascii="Tahoma" w:hAnsi="Tahoma" w:cs="Tahoma"/>
          <w:sz w:val="20"/>
          <w:szCs w:val="20"/>
        </w:rPr>
        <w:t>C. C. No.: ______________________ De: _____________________________</w:t>
      </w:r>
    </w:p>
    <w:p w14:paraId="28EFC139" w14:textId="77777777" w:rsidR="00016B8F" w:rsidRPr="007D0A33" w:rsidRDefault="008B04FF" w:rsidP="00866AD9">
      <w:pPr>
        <w:jc w:val="both"/>
        <w:rPr>
          <w:rFonts w:ascii="Tahoma" w:hAnsi="Tahoma" w:cs="Tahoma"/>
          <w:spacing w:val="-3"/>
        </w:rPr>
      </w:pPr>
      <w:r w:rsidRPr="00ED7DE0">
        <w:rPr>
          <w:rFonts w:ascii="Tahoma" w:hAnsi="Tahoma" w:cs="Tahoma"/>
          <w:sz w:val="20"/>
          <w:szCs w:val="20"/>
        </w:rPr>
        <w:t>FIRMA: ________________________________</w:t>
      </w:r>
    </w:p>
    <w:sectPr w:rsidR="00016B8F" w:rsidRPr="007D0A3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0A0"/>
    <w:multiLevelType w:val="hybridMultilevel"/>
    <w:tmpl w:val="2D7C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828A1"/>
    <w:multiLevelType w:val="hybridMultilevel"/>
    <w:tmpl w:val="B3703E42"/>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500057C"/>
    <w:multiLevelType w:val="hybridMultilevel"/>
    <w:tmpl w:val="2066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151180"/>
    <w:multiLevelType w:val="hybridMultilevel"/>
    <w:tmpl w:val="1640E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0F"/>
    <w:rsid w:val="00016B8F"/>
    <w:rsid w:val="000974C2"/>
    <w:rsid w:val="00254D61"/>
    <w:rsid w:val="003A736F"/>
    <w:rsid w:val="003E6176"/>
    <w:rsid w:val="004404D2"/>
    <w:rsid w:val="00587F01"/>
    <w:rsid w:val="006C7CC9"/>
    <w:rsid w:val="007633FD"/>
    <w:rsid w:val="007D4F8C"/>
    <w:rsid w:val="00866AD9"/>
    <w:rsid w:val="008B04FF"/>
    <w:rsid w:val="009817BD"/>
    <w:rsid w:val="00994628"/>
    <w:rsid w:val="00A422DE"/>
    <w:rsid w:val="00AD3AA3"/>
    <w:rsid w:val="00B97500"/>
    <w:rsid w:val="00CF0644"/>
    <w:rsid w:val="00D04C0F"/>
    <w:rsid w:val="00DC5755"/>
    <w:rsid w:val="00E316DC"/>
    <w:rsid w:val="00ED7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BB1F"/>
  <w15:docId w15:val="{CE57DA47-3A32-4AC6-A8C2-E783CA77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paragraph" w:styleId="Prrafodelista">
    <w:name w:val="List Paragraph"/>
    <w:aliases w:val="Bullet List,FooterText,numbered,List Paragraph1,Paragraphe de liste1,lp1,Lista vistosa - Énfasis 11,List Paragraph Char Char,b1,Bulletr List Paragraph,列出段落,列出段落1,HOJA,Bolita,Párrafo de lista4,BOLADEF,Párrafo de lista3,Párrafo de lista21"/>
    <w:basedOn w:val="Normal"/>
    <w:link w:val="PrrafodelistaCar"/>
    <w:uiPriority w:val="34"/>
    <w:qFormat/>
    <w:rsid w:val="008B04FF"/>
    <w:pPr>
      <w:suppressAutoHyphens/>
      <w:spacing w:after="120" w:line="240" w:lineRule="auto"/>
      <w:ind w:left="708"/>
      <w:jc w:val="both"/>
    </w:pPr>
    <w:rPr>
      <w:rFonts w:ascii="Arial" w:eastAsia="Calibri" w:hAnsi="Arial" w:cs="Times New Roman"/>
      <w:sz w:val="24"/>
      <w:szCs w:val="24"/>
      <w:lang w:val="es-ES" w:eastAsia="ar-SA"/>
    </w:rPr>
  </w:style>
  <w:style w:type="character" w:customStyle="1" w:styleId="PrrafodelistaCar">
    <w:name w:val="Párrafo de lista Car"/>
    <w:aliases w:val="Bullet List Car,FooterText Car,numbered Car,List Paragraph1 Car,Paragraphe de liste1 Car,lp1 Car,Lista vistosa - Énfasis 11 Car,List Paragraph Char Char Car,b1 Car,Bulletr List Paragraph Car,列出段落 Car,列出段落1 Car,HOJA Car,Bolita Car"/>
    <w:link w:val="Prrafodelista"/>
    <w:uiPriority w:val="34"/>
    <w:qFormat/>
    <w:rsid w:val="008B04FF"/>
    <w:rPr>
      <w:rFonts w:ascii="Arial" w:eastAsia="Calibri" w:hAnsi="Arial" w:cs="Times New Roman"/>
      <w:sz w:val="24"/>
      <w:szCs w:val="24"/>
      <w:lang w:val="es-ES" w:eastAsia="ar-SA"/>
    </w:rPr>
  </w:style>
  <w:style w:type="paragraph" w:customStyle="1" w:styleId="Default">
    <w:name w:val="Default"/>
    <w:rsid w:val="008B04FF"/>
    <w:pPr>
      <w:autoSpaceDE w:val="0"/>
      <w:autoSpaceDN w:val="0"/>
      <w:adjustRightInd w:val="0"/>
      <w:spacing w:after="0" w:line="240" w:lineRule="auto"/>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23034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Pinilla</dc:creator>
  <cp:lastModifiedBy>Alejandro Pinilla</cp:lastModifiedBy>
  <cp:revision>3</cp:revision>
  <dcterms:created xsi:type="dcterms:W3CDTF">2021-10-25T19:47:00Z</dcterms:created>
  <dcterms:modified xsi:type="dcterms:W3CDTF">2021-11-26T15:40:00Z</dcterms:modified>
</cp:coreProperties>
</file>