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B4016" w14:textId="77777777" w:rsidR="00F274BD" w:rsidRDefault="00F274BD" w:rsidP="003A24EF">
      <w:pPr>
        <w:spacing w:after="0" w:line="240" w:lineRule="auto"/>
        <w:ind w:left="432" w:hanging="432"/>
        <w:contextualSpacing/>
        <w:jc w:val="both"/>
      </w:pPr>
    </w:p>
    <w:p w14:paraId="73620FE9" w14:textId="1AD659C9" w:rsidR="003A24EF" w:rsidRPr="00F25B58" w:rsidRDefault="003A24EF" w:rsidP="003A24EF">
      <w:pPr>
        <w:numPr>
          <w:ilvl w:val="0"/>
          <w:numId w:val="1"/>
        </w:numPr>
        <w:spacing w:after="0" w:line="240" w:lineRule="auto"/>
        <w:contextualSpacing/>
        <w:jc w:val="both"/>
        <w:rPr>
          <w:rFonts w:cstheme="minorHAnsi"/>
          <w:b/>
          <w:bCs/>
          <w:u w:val="single"/>
        </w:rPr>
      </w:pPr>
      <w:r w:rsidRPr="00F25B58">
        <w:rPr>
          <w:rFonts w:cstheme="minorHAnsi"/>
          <w:b/>
          <w:bCs/>
          <w:u w:val="single"/>
        </w:rPr>
        <w:t>INTRODUCCIÓN</w:t>
      </w:r>
    </w:p>
    <w:p w14:paraId="140951A3" w14:textId="77777777" w:rsidR="003A24EF" w:rsidRPr="00F25B58" w:rsidRDefault="003A24EF" w:rsidP="003A24EF">
      <w:pPr>
        <w:autoSpaceDE w:val="0"/>
        <w:autoSpaceDN w:val="0"/>
        <w:adjustRightInd w:val="0"/>
        <w:spacing w:after="0" w:line="240" w:lineRule="auto"/>
        <w:jc w:val="both"/>
        <w:rPr>
          <w:rFonts w:cstheme="minorHAnsi"/>
          <w:color w:val="000000"/>
        </w:rPr>
      </w:pPr>
    </w:p>
    <w:p w14:paraId="448D9496" w14:textId="3D776D6A" w:rsidR="00F61B75" w:rsidRPr="00F25B58" w:rsidRDefault="00AF7299" w:rsidP="003A24EF">
      <w:pPr>
        <w:autoSpaceDE w:val="0"/>
        <w:autoSpaceDN w:val="0"/>
        <w:adjustRightInd w:val="0"/>
        <w:spacing w:after="0" w:line="240" w:lineRule="auto"/>
        <w:jc w:val="both"/>
        <w:rPr>
          <w:rFonts w:cstheme="minorHAnsi"/>
          <w:color w:val="000000"/>
        </w:rPr>
      </w:pPr>
      <w:r w:rsidRPr="00F25B58">
        <w:rPr>
          <w:rFonts w:cstheme="minorHAnsi"/>
          <w:color w:val="000000"/>
        </w:rPr>
        <w:t xml:space="preserve">Es </w:t>
      </w:r>
      <w:r w:rsidR="003A24EF" w:rsidRPr="00F25B58">
        <w:rPr>
          <w:rFonts w:cstheme="minorHAnsi"/>
          <w:color w:val="000000"/>
        </w:rPr>
        <w:t>deber de las Entidades analizar el sector, es decir, el mercado relativo al objeto del Proceso de Contratación, desde la perspectiva legal, comercial, financiera, organizacional, técnica y de análisis de Riesgo. El resultado del análisis debe plasmarse en los estudios y documentos previos del Proceso de Contratación.</w:t>
      </w:r>
    </w:p>
    <w:p w14:paraId="068A0514" w14:textId="6D811913" w:rsidR="00F0085B" w:rsidRDefault="00F0085B" w:rsidP="003A24EF">
      <w:pPr>
        <w:autoSpaceDE w:val="0"/>
        <w:autoSpaceDN w:val="0"/>
        <w:adjustRightInd w:val="0"/>
        <w:spacing w:after="0" w:line="240" w:lineRule="auto"/>
        <w:jc w:val="both"/>
        <w:rPr>
          <w:rFonts w:cstheme="minorHAnsi"/>
          <w:color w:val="000000"/>
        </w:rPr>
      </w:pPr>
    </w:p>
    <w:p w14:paraId="77F187C9" w14:textId="77777777" w:rsidR="003A24EF" w:rsidRPr="00D57572" w:rsidRDefault="00F0085B" w:rsidP="00D57572">
      <w:pPr>
        <w:pStyle w:val="Prrafodelista"/>
        <w:numPr>
          <w:ilvl w:val="0"/>
          <w:numId w:val="1"/>
        </w:numPr>
        <w:spacing w:after="0" w:line="240" w:lineRule="auto"/>
        <w:jc w:val="both"/>
        <w:rPr>
          <w:rFonts w:cstheme="minorHAnsi"/>
          <w:b/>
          <w:bCs/>
          <w:u w:val="single"/>
        </w:rPr>
      </w:pPr>
      <w:r w:rsidRPr="00D57572">
        <w:rPr>
          <w:rFonts w:cstheme="minorHAnsi"/>
          <w:b/>
          <w:bCs/>
          <w:u w:val="single"/>
        </w:rPr>
        <w:t>PERSPECTIVA LEGAL</w:t>
      </w:r>
    </w:p>
    <w:p w14:paraId="07F31AB7" w14:textId="77777777" w:rsidR="00F0085B" w:rsidRPr="00F25B58" w:rsidRDefault="00F0085B" w:rsidP="00F0085B">
      <w:pPr>
        <w:spacing w:after="0" w:line="240" w:lineRule="auto"/>
        <w:contextualSpacing/>
        <w:jc w:val="both"/>
        <w:rPr>
          <w:rFonts w:eastAsia="Calibri" w:cstheme="minorHAnsi"/>
          <w:b/>
          <w:bCs/>
        </w:rPr>
      </w:pPr>
    </w:p>
    <w:p w14:paraId="14549927" w14:textId="20D3D503" w:rsidR="00F0085B" w:rsidRPr="00F25B58" w:rsidRDefault="00472A00" w:rsidP="00F0085B">
      <w:pPr>
        <w:pStyle w:val="Prrafodelista"/>
        <w:numPr>
          <w:ilvl w:val="1"/>
          <w:numId w:val="1"/>
        </w:numPr>
        <w:autoSpaceDE w:val="0"/>
        <w:autoSpaceDN w:val="0"/>
        <w:adjustRightInd w:val="0"/>
        <w:spacing w:after="0" w:line="240" w:lineRule="auto"/>
        <w:jc w:val="both"/>
        <w:rPr>
          <w:rFonts w:eastAsia="Calibri" w:cstheme="minorHAnsi"/>
          <w:b/>
          <w:bCs/>
        </w:rPr>
      </w:pPr>
      <w:r w:rsidRPr="00F25B58">
        <w:rPr>
          <w:rFonts w:eastAsia="Calibri" w:cstheme="minorHAnsi"/>
          <w:b/>
          <w:bCs/>
        </w:rPr>
        <w:t>Régimen ju</w:t>
      </w:r>
      <w:r w:rsidR="00076280" w:rsidRPr="00F25B58">
        <w:rPr>
          <w:rFonts w:eastAsia="Calibri" w:cstheme="minorHAnsi"/>
          <w:b/>
          <w:bCs/>
        </w:rPr>
        <w:t>rídico aplicable</w:t>
      </w:r>
    </w:p>
    <w:p w14:paraId="0C842944" w14:textId="77777777" w:rsidR="00F0085B" w:rsidRPr="00F25B58" w:rsidRDefault="00F0085B" w:rsidP="00F0085B">
      <w:pPr>
        <w:autoSpaceDE w:val="0"/>
        <w:autoSpaceDN w:val="0"/>
        <w:adjustRightInd w:val="0"/>
        <w:spacing w:after="0" w:line="240" w:lineRule="auto"/>
        <w:jc w:val="both"/>
        <w:rPr>
          <w:rFonts w:eastAsia="Calibri" w:cstheme="minorHAnsi"/>
          <w:b/>
          <w:bCs/>
        </w:rPr>
      </w:pPr>
    </w:p>
    <w:p w14:paraId="7E34D4B6" w14:textId="77777777" w:rsidR="00076280" w:rsidRPr="00F25B58" w:rsidRDefault="00076280" w:rsidP="00076280">
      <w:pPr>
        <w:ind w:hanging="2"/>
        <w:jc w:val="both"/>
        <w:rPr>
          <w:rFonts w:eastAsia="Arial Narrow" w:cstheme="minorHAnsi"/>
        </w:rPr>
      </w:pPr>
      <w:r w:rsidRPr="00F25B58">
        <w:rPr>
          <w:rFonts w:eastAsia="Arial Narrow" w:cstheme="minorHAnsi"/>
        </w:rPr>
        <w:t>Al presente proceso y al contrato o contratos que de este se deriven, les serán aplicables las normas contenidas en la Constitución Política, la Ley 30 de 1992, el Acuerdo 003 de 2015 del Consejo Superior Universitario y la Resolución de Rectoría No. 262 de 2015 expedida por la Rectoría de la Universidad, y demás normas civiles y comerciales concordantes.</w:t>
      </w:r>
    </w:p>
    <w:p w14:paraId="35681132" w14:textId="77777777" w:rsidR="00076280" w:rsidRPr="00F25B58" w:rsidRDefault="00076280" w:rsidP="00076280">
      <w:pPr>
        <w:ind w:hanging="2"/>
        <w:jc w:val="both"/>
        <w:rPr>
          <w:rFonts w:eastAsia="Arial Narrow" w:cstheme="minorHAnsi"/>
        </w:rPr>
      </w:pPr>
      <w:r w:rsidRPr="00F25B58">
        <w:rPr>
          <w:rFonts w:eastAsia="Arial Narrow" w:cstheme="minorHAnsi"/>
        </w:rPr>
        <w:t xml:space="preserve">En virtud del carácter de la Institución como ente Universitario Autónomo, consagrado en los artículos 69 de la Constitución Política y 93 de la Ley 30 de 1992, los contratos que suscriba la Universidad Distrital Francisco José de Caldas para el cumplimiento de su misión se regirán por las normas del derecho privado, y sus efectos estarán sujetos a las normas civiles y comerciales, según la naturaleza de los contratos. </w:t>
      </w:r>
    </w:p>
    <w:p w14:paraId="65E08A45" w14:textId="76EC556B" w:rsidR="00076280" w:rsidRPr="00F25B58" w:rsidRDefault="00076280" w:rsidP="00076280">
      <w:pPr>
        <w:ind w:hanging="2"/>
        <w:jc w:val="both"/>
        <w:rPr>
          <w:rFonts w:eastAsia="Arial Narrow" w:cstheme="minorHAnsi"/>
        </w:rPr>
      </w:pPr>
      <w:r w:rsidRPr="00F25B58">
        <w:rPr>
          <w:rFonts w:eastAsia="Arial Narrow" w:cstheme="minorHAnsi"/>
        </w:rPr>
        <w:t xml:space="preserve">De conformidad con las normas de contratación interna, se hace saber a los proponentes que el particular que contrata con el Estado adquiere la calidad de colaborador </w:t>
      </w:r>
      <w:r w:rsidR="002A7F39" w:rsidRPr="00F25B58">
        <w:rPr>
          <w:rFonts w:eastAsia="Arial Narrow" w:cstheme="minorHAnsi"/>
        </w:rPr>
        <w:t>de este</w:t>
      </w:r>
      <w:r w:rsidRPr="00F25B58">
        <w:rPr>
          <w:rFonts w:eastAsia="Arial Narrow" w:cstheme="minorHAnsi"/>
        </w:rPr>
        <w:t xml:space="preserve"> en el logro de sus fines, razón por la que cumple una función social que implica obligaciones, sin perjuicio de los derechos que la constitución y la ley le otorgan.</w:t>
      </w:r>
    </w:p>
    <w:p w14:paraId="2059F862" w14:textId="77777777" w:rsidR="00076280" w:rsidRPr="00F25B58" w:rsidRDefault="00076280" w:rsidP="00076280">
      <w:pPr>
        <w:ind w:hanging="2"/>
        <w:jc w:val="both"/>
        <w:rPr>
          <w:rFonts w:eastAsia="Arial Narrow" w:cstheme="minorHAnsi"/>
        </w:rPr>
      </w:pPr>
      <w:r w:rsidRPr="00F25B58">
        <w:rPr>
          <w:rFonts w:eastAsia="Arial Narrow" w:cstheme="minorHAnsi"/>
        </w:rPr>
        <w:t>En cuanto sean compatibles con la finalidad y los principios del Acuerdo 003 de 2015, las normas que rigen los procedimientos y actuaciones en la función administrativa serán aplicables en las actuaciones contractuales, y a falta de éstas, regirán las disposiciones del Código General del Proceso.</w:t>
      </w:r>
    </w:p>
    <w:p w14:paraId="601CF82D" w14:textId="77777777" w:rsidR="00076280" w:rsidRPr="00F25B58" w:rsidRDefault="00076280" w:rsidP="00076280">
      <w:pPr>
        <w:ind w:hanging="2"/>
        <w:jc w:val="both"/>
        <w:rPr>
          <w:rFonts w:eastAsia="Arial Narrow" w:cstheme="minorHAnsi"/>
        </w:rPr>
      </w:pPr>
      <w:r w:rsidRPr="00F25B58">
        <w:rPr>
          <w:rFonts w:eastAsia="Arial Narrow" w:cstheme="minorHAnsi"/>
        </w:rPr>
        <w:t>Adicionalmente, se tendrán en cuenta las siguientes normas:</w:t>
      </w:r>
    </w:p>
    <w:p w14:paraId="48D94501" w14:textId="77777777" w:rsidR="00A766FF" w:rsidRPr="00F25B58" w:rsidRDefault="00A766FF" w:rsidP="00A766FF">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650149">
        <w:rPr>
          <w:rFonts w:eastAsia="Arial Narrow" w:cstheme="minorHAnsi"/>
          <w:color w:val="000000"/>
        </w:rPr>
        <w:t>Resolución 014</w:t>
      </w:r>
      <w:r w:rsidRPr="00F25B58">
        <w:rPr>
          <w:rFonts w:eastAsia="Arial Narrow" w:cstheme="minorHAnsi"/>
          <w:color w:val="000000"/>
        </w:rPr>
        <w:t xml:space="preserve"> del </w:t>
      </w:r>
      <w:r>
        <w:rPr>
          <w:rFonts w:eastAsia="Arial Narrow" w:cstheme="minorHAnsi"/>
          <w:color w:val="000000"/>
        </w:rPr>
        <w:t>13</w:t>
      </w:r>
      <w:r w:rsidRPr="00F25B58">
        <w:rPr>
          <w:rFonts w:eastAsia="Arial Narrow" w:cstheme="minorHAnsi"/>
          <w:color w:val="000000"/>
        </w:rPr>
        <w:t xml:space="preserve"> de </w:t>
      </w:r>
      <w:r>
        <w:rPr>
          <w:rFonts w:eastAsia="Arial Narrow" w:cstheme="minorHAnsi"/>
          <w:color w:val="000000"/>
        </w:rPr>
        <w:t>enero</w:t>
      </w:r>
      <w:r w:rsidRPr="00F25B58">
        <w:rPr>
          <w:rFonts w:eastAsia="Arial Narrow" w:cstheme="minorHAnsi"/>
          <w:color w:val="000000"/>
        </w:rPr>
        <w:t xml:space="preserve"> de 202</w:t>
      </w:r>
      <w:r>
        <w:rPr>
          <w:rFonts w:eastAsia="Arial Narrow" w:cstheme="minorHAnsi"/>
          <w:color w:val="000000"/>
        </w:rPr>
        <w:t>3</w:t>
      </w:r>
      <w:r w:rsidRPr="00F25B58">
        <w:rPr>
          <w:rFonts w:eastAsia="Arial Narrow" w:cstheme="minorHAnsi"/>
          <w:color w:val="000000"/>
        </w:rPr>
        <w:t xml:space="preserve">, </w:t>
      </w:r>
      <w:r w:rsidRPr="00F25B58">
        <w:rPr>
          <w:rFonts w:eastAsia="Arial Narrow" w:cstheme="minorHAnsi"/>
          <w:i/>
          <w:color w:val="000000"/>
        </w:rPr>
        <w:t>"Por la cual se aprueba el Plan de Adquisiciones de la Universidad Distrital Vigencia 202</w:t>
      </w:r>
      <w:r>
        <w:rPr>
          <w:rFonts w:eastAsia="Arial Narrow" w:cstheme="minorHAnsi"/>
          <w:i/>
          <w:color w:val="000000"/>
        </w:rPr>
        <w:t>3</w:t>
      </w:r>
      <w:r w:rsidRPr="00F25B58">
        <w:rPr>
          <w:rFonts w:eastAsia="Arial Narrow" w:cstheme="minorHAnsi"/>
          <w:color w:val="000000"/>
        </w:rPr>
        <w:t>, y sus actualizaciones posteriores</w:t>
      </w:r>
      <w:r w:rsidRPr="00F25B58">
        <w:rPr>
          <w:rFonts w:eastAsia="Arial Narrow" w:cstheme="minorHAnsi"/>
          <w:i/>
          <w:color w:val="000000"/>
        </w:rPr>
        <w:t>.</w:t>
      </w:r>
    </w:p>
    <w:p w14:paraId="362A502B"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Resolución de Rectoría No. 629 de 2016 (Manual de Interventoría y Supervisión de la Universidad Distrital Francisco José de Caldas).</w:t>
      </w:r>
    </w:p>
    <w:p w14:paraId="105244E9"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 xml:space="preserve">Resolución 561 del 20 de octubre de 2016, </w:t>
      </w:r>
      <w:r w:rsidRPr="00F25B58">
        <w:rPr>
          <w:rFonts w:eastAsia="Arial Narrow" w:cstheme="minorHAnsi"/>
          <w:i/>
          <w:color w:val="000000"/>
        </w:rPr>
        <w:t>“Por la cual se adopta el manual de Seguridad y Salud en el Trabajo para Contratistas y Proveedores de la Universidad Distrital Francisco José de Caldas”</w:t>
      </w:r>
      <w:r w:rsidRPr="00F25B58">
        <w:rPr>
          <w:rFonts w:eastAsia="Arial Narrow" w:cstheme="minorHAnsi"/>
          <w:color w:val="000000"/>
        </w:rPr>
        <w:t>.</w:t>
      </w:r>
    </w:p>
    <w:p w14:paraId="3F2A5677" w14:textId="77777777" w:rsidR="00076280" w:rsidRPr="00F25B58" w:rsidRDefault="00076280" w:rsidP="0073162A">
      <w:pPr>
        <w:widowControl w:val="0"/>
        <w:numPr>
          <w:ilvl w:val="0"/>
          <w:numId w:val="9"/>
        </w:numPr>
        <w:pBdr>
          <w:top w:val="nil"/>
          <w:left w:val="nil"/>
          <w:bottom w:val="nil"/>
          <w:right w:val="nil"/>
          <w:between w:val="nil"/>
        </w:pBdr>
        <w:suppressAutoHyphens/>
        <w:spacing w:after="120" w:line="240" w:lineRule="auto"/>
        <w:jc w:val="both"/>
        <w:textDirection w:val="btLr"/>
        <w:textAlignment w:val="top"/>
        <w:outlineLvl w:val="0"/>
        <w:rPr>
          <w:rFonts w:cstheme="minorHAnsi"/>
          <w:color w:val="000000"/>
        </w:rPr>
      </w:pPr>
      <w:r w:rsidRPr="00F25B58">
        <w:rPr>
          <w:rFonts w:eastAsia="Arial Narrow" w:cstheme="minorHAnsi"/>
          <w:color w:val="000000"/>
        </w:rPr>
        <w:t>Resolución 683 del 9 de diciembre de 2016, “</w:t>
      </w:r>
      <w:r w:rsidRPr="00F25B58">
        <w:rPr>
          <w:rFonts w:eastAsia="Arial Narrow" w:cstheme="minorHAnsi"/>
          <w:i/>
          <w:color w:val="000000"/>
        </w:rPr>
        <w:t>Por la cual se crea y reglamenta el banco de proveedores de la Universidad Distrital</w:t>
      </w:r>
      <w:r w:rsidRPr="00F25B58">
        <w:rPr>
          <w:rFonts w:eastAsia="Arial Narrow" w:cstheme="minorHAnsi"/>
          <w:color w:val="000000"/>
        </w:rPr>
        <w:t>”, obligando a “</w:t>
      </w:r>
      <w:r w:rsidRPr="00F25B58">
        <w:rPr>
          <w:rFonts w:eastAsia="Arial Narrow" w:cstheme="minorHAnsi"/>
          <w:i/>
          <w:color w:val="000000"/>
        </w:rPr>
        <w:t xml:space="preserve">todas las personas naturales y jurídicas, interesadas en participar en las modalidades de contratación mencionadas en el artículo 14 del Estatuto de Contratación, esto es, que aspiren a celebrar contratos con </w:t>
      </w:r>
      <w:r w:rsidRPr="00F25B58">
        <w:rPr>
          <w:rFonts w:eastAsia="Arial Narrow" w:cstheme="minorHAnsi"/>
          <w:i/>
          <w:color w:val="000000"/>
        </w:rPr>
        <w:lastRenderedPageBreak/>
        <w:t>la Universidad Distrital Francisco José de Caldas”</w:t>
      </w:r>
      <w:r w:rsidRPr="00F25B58">
        <w:rPr>
          <w:rFonts w:eastAsia="Arial Narrow" w:cstheme="minorHAnsi"/>
          <w:color w:val="000000"/>
        </w:rPr>
        <w:t xml:space="preserve">, a inscribirse en el Registro de Proveedores de la Universidad. </w:t>
      </w:r>
      <w:r w:rsidRPr="00F25B58">
        <w:rPr>
          <w:rFonts w:eastAsia="Arial Narrow" w:cstheme="minorHAnsi"/>
          <w:b/>
          <w:color w:val="000000"/>
        </w:rPr>
        <w:t xml:space="preserve">EL PROCEDIMIENTO DE INCRIPCIÓN COMO PROVEEDEOR LO DEBE REALIZAR EN LA PÁGINA WEB DE LA ENTIDAD EN EL SIGUIENTE </w:t>
      </w:r>
      <w:proofErr w:type="gramStart"/>
      <w:r w:rsidRPr="00F25B58">
        <w:rPr>
          <w:rFonts w:eastAsia="Arial Narrow" w:cstheme="minorHAnsi"/>
          <w:b/>
          <w:color w:val="000000"/>
        </w:rPr>
        <w:t>LINK</w:t>
      </w:r>
      <w:proofErr w:type="gramEnd"/>
      <w:r w:rsidRPr="00F25B58">
        <w:rPr>
          <w:rFonts w:eastAsia="Arial Narrow" w:cstheme="minorHAnsi"/>
          <w:b/>
          <w:color w:val="000000"/>
        </w:rPr>
        <w:t>, DONDE DEBE ADJUNTAR EL REGISTRO ÚNICO TRIBUTARIO Y LA INFORMACIÓN SOLICITADA.</w:t>
      </w:r>
    </w:p>
    <w:p w14:paraId="5643F96E" w14:textId="7B7DE4CD" w:rsidR="00076280" w:rsidRPr="00F25B58" w:rsidRDefault="00010FB4" w:rsidP="00984115">
      <w:pPr>
        <w:ind w:firstLine="708"/>
        <w:jc w:val="both"/>
        <w:rPr>
          <w:rFonts w:eastAsia="Arial Narrow" w:cstheme="minorHAnsi"/>
        </w:rPr>
      </w:pPr>
      <w:hyperlink r:id="rId11" w:anchor="/contratacion.php" w:history="1">
        <w:r w:rsidR="00984115" w:rsidRPr="00D85E0A">
          <w:rPr>
            <w:rStyle w:val="Hipervnculo"/>
            <w:rFonts w:eastAsia="Arial Narrow" w:cstheme="minorHAnsi"/>
          </w:rPr>
          <w:t>https://www.udistrital.edu.co/#/contratacion.php</w:t>
        </w:r>
      </w:hyperlink>
      <w:r w:rsidR="00076280" w:rsidRPr="00F25B58">
        <w:rPr>
          <w:rFonts w:eastAsia="Arial Narrow" w:cstheme="minorHAnsi"/>
        </w:rPr>
        <w:t xml:space="preserve"> </w:t>
      </w:r>
    </w:p>
    <w:p w14:paraId="7C1CC83A" w14:textId="77777777" w:rsidR="00984115" w:rsidRPr="00984115" w:rsidRDefault="00984115" w:rsidP="00984115">
      <w:pPr>
        <w:spacing w:after="0" w:line="240" w:lineRule="auto"/>
        <w:jc w:val="both"/>
        <w:rPr>
          <w:rFonts w:eastAsia="Calibri" w:cstheme="minorHAnsi"/>
          <w:b/>
          <w:bCs/>
        </w:rPr>
      </w:pPr>
    </w:p>
    <w:p w14:paraId="600837F4" w14:textId="1D9D5E39" w:rsidR="00F0085B" w:rsidRPr="0079410A" w:rsidRDefault="0079410A" w:rsidP="00F0085B">
      <w:pPr>
        <w:pStyle w:val="Prrafodelista"/>
        <w:numPr>
          <w:ilvl w:val="1"/>
          <w:numId w:val="1"/>
        </w:numPr>
        <w:spacing w:after="0" w:line="240" w:lineRule="auto"/>
        <w:jc w:val="both"/>
        <w:rPr>
          <w:rFonts w:eastAsia="Calibri" w:cstheme="minorHAnsi"/>
          <w:b/>
          <w:bCs/>
        </w:rPr>
      </w:pPr>
      <w:r w:rsidRPr="0079410A">
        <w:rPr>
          <w:rFonts w:eastAsia="Calibri" w:cstheme="minorHAnsi"/>
          <w:b/>
          <w:bCs/>
        </w:rPr>
        <w:t>Fundamentos Legales que regulan la protección de los bienes, el patrimonio en general y personas del Estado</w:t>
      </w:r>
    </w:p>
    <w:p w14:paraId="08FE8BB3" w14:textId="77777777" w:rsidR="0079410A" w:rsidRPr="0079410A" w:rsidRDefault="0079410A" w:rsidP="0079410A">
      <w:pPr>
        <w:spacing w:after="0" w:line="240" w:lineRule="auto"/>
        <w:ind w:hanging="2"/>
        <w:jc w:val="both"/>
        <w:rPr>
          <w:rFonts w:eastAsia="Arial Narrow" w:cstheme="minorHAnsi"/>
        </w:rPr>
      </w:pPr>
    </w:p>
    <w:p w14:paraId="29448E26" w14:textId="77777777" w:rsidR="0079410A" w:rsidRDefault="0079410A" w:rsidP="0079410A">
      <w:pPr>
        <w:spacing w:after="0" w:line="240" w:lineRule="auto"/>
        <w:ind w:hanging="2"/>
        <w:jc w:val="both"/>
        <w:rPr>
          <w:rFonts w:eastAsia="Arial Narrow" w:cstheme="minorHAnsi"/>
          <w:i/>
          <w:iCs/>
        </w:rPr>
      </w:pPr>
      <w:r w:rsidRPr="0079410A">
        <w:rPr>
          <w:rFonts w:eastAsia="Arial Narrow" w:cstheme="minorHAnsi"/>
        </w:rPr>
        <w:t xml:space="preserve">Frente al aspecto legal, es preciso mencionar que las Entidades Estatales o con componente estatal, por mandamiento legal, están obligadas al aseguramiento de los bienes conforme se establece en el artículo 62 de la Ley 45 de 1990, </w:t>
      </w:r>
      <w:r w:rsidRPr="0079410A">
        <w:rPr>
          <w:rFonts w:eastAsia="Arial Narrow" w:cstheme="minorHAnsi"/>
          <w:i/>
          <w:iCs/>
        </w:rPr>
        <w:t>“La ley 45 de 1990 en su Artículo 62 regula el tema del aseguramiento de los bienes oficiales, así:</w:t>
      </w:r>
    </w:p>
    <w:p w14:paraId="6214B7DC" w14:textId="77777777" w:rsidR="0079410A" w:rsidRDefault="0079410A" w:rsidP="0079410A">
      <w:pPr>
        <w:spacing w:after="0" w:line="240" w:lineRule="auto"/>
        <w:ind w:hanging="2"/>
        <w:jc w:val="both"/>
        <w:rPr>
          <w:rFonts w:eastAsia="Arial Narrow" w:cstheme="minorHAnsi"/>
          <w:i/>
          <w:iCs/>
        </w:rPr>
      </w:pPr>
    </w:p>
    <w:p w14:paraId="44528990" w14:textId="6FCE8D6E"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"Todos los seguros requeridos para una adecuada protección de los intereses patrimoniales de las entidades públicas y de los bienes pertenecientes a las mismas o de las cuales sean legalmente responsables, se contratarán con cualquiera de las compañías de seguros legalmente autorizadas para funcionar en el país.</w:t>
      </w:r>
    </w:p>
    <w:p w14:paraId="2D742DAF" w14:textId="77777777" w:rsidR="0079410A" w:rsidRPr="0079410A" w:rsidRDefault="0079410A" w:rsidP="0079410A">
      <w:pPr>
        <w:spacing w:after="0" w:line="240" w:lineRule="auto"/>
        <w:ind w:hanging="2"/>
        <w:jc w:val="both"/>
        <w:rPr>
          <w:rFonts w:eastAsia="Arial Narrow" w:cstheme="minorHAnsi"/>
          <w:i/>
          <w:iCs/>
        </w:rPr>
      </w:pPr>
    </w:p>
    <w:p w14:paraId="5D095A47"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Los representantes legales, las juntas y consejos directivos de las entidades oficiales serán responsables de que la contratación se efectúe con entidades aseguradoras que ofrezcan adecuadas condiciones en materia de solvencia, coberturas y precios".</w:t>
      </w:r>
    </w:p>
    <w:p w14:paraId="4AD94F7A" w14:textId="77777777" w:rsidR="0079410A" w:rsidRPr="0079410A" w:rsidRDefault="0079410A" w:rsidP="0079410A">
      <w:pPr>
        <w:spacing w:after="0" w:line="240" w:lineRule="auto"/>
        <w:ind w:hanging="2"/>
        <w:jc w:val="both"/>
        <w:rPr>
          <w:rFonts w:eastAsia="Arial Narrow" w:cstheme="minorHAnsi"/>
          <w:i/>
          <w:iCs/>
        </w:rPr>
      </w:pPr>
    </w:p>
    <w:p w14:paraId="0DCAD490"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 su vez la Ley 42 de 1993 que regula la organización del sistema de control fiscal financiero y los organismos que lo ejercen, en los artículos 101 (Derogado por el Decreto 403 de 2020) y 107 consagra la responsabilidad fiscal que se genera para quienes no cumplan con el deber de amparar debidamente los bienes y/o el patrimonio estatal, de la siguiente forma: </w:t>
      </w:r>
    </w:p>
    <w:p w14:paraId="3949589A"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“El Decreto 403 de 2020, que derogó el artículo 101 de la Ley 42 de 1993 que regula la organización del sistema de control fiscal y estableció las conductas sancionables de los servidores públicos en su artículo 81 y a su vez, en sus artículos 83 y 84 estableció las sanciones y los criterios para la imposición de </w:t>
      </w:r>
      <w:proofErr w:type="gramStart"/>
      <w:r w:rsidRPr="0079410A">
        <w:rPr>
          <w:rFonts w:eastAsia="Arial Narrow" w:cstheme="minorHAnsi"/>
          <w:i/>
          <w:iCs/>
        </w:rPr>
        <w:t>las mismas</w:t>
      </w:r>
      <w:proofErr w:type="gramEnd"/>
      <w:r w:rsidRPr="0079410A">
        <w:rPr>
          <w:rFonts w:eastAsia="Arial Narrow" w:cstheme="minorHAnsi"/>
          <w:i/>
          <w:iCs/>
        </w:rPr>
        <w:t>.</w:t>
      </w:r>
    </w:p>
    <w:p w14:paraId="4DD8DFF0" w14:textId="77777777" w:rsidR="0079410A" w:rsidRPr="0079410A" w:rsidRDefault="0079410A" w:rsidP="0079410A">
      <w:pPr>
        <w:spacing w:after="0" w:line="240" w:lineRule="auto"/>
        <w:ind w:hanging="2"/>
        <w:jc w:val="both"/>
        <w:rPr>
          <w:rFonts w:eastAsia="Arial Narrow" w:cstheme="minorHAnsi"/>
          <w:i/>
          <w:iCs/>
        </w:rPr>
      </w:pPr>
    </w:p>
    <w:p w14:paraId="1413EBC8"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El literal b) del artículo 81 del Decreto 403 de 2020, establece lo siguiente:</w:t>
      </w:r>
    </w:p>
    <w:p w14:paraId="5B491938" w14:textId="77777777" w:rsidR="0079410A" w:rsidRPr="0079410A" w:rsidRDefault="0079410A" w:rsidP="0079410A">
      <w:pPr>
        <w:spacing w:after="0" w:line="240" w:lineRule="auto"/>
        <w:ind w:hanging="2"/>
        <w:jc w:val="both"/>
        <w:rPr>
          <w:rFonts w:eastAsia="Arial Narrow" w:cstheme="minorHAnsi"/>
          <w:i/>
          <w:iCs/>
        </w:rPr>
      </w:pPr>
    </w:p>
    <w:p w14:paraId="1E5950B6"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Artículo 81. De las conductas sancionables. Serán sancionables las siguientes conductas: </w:t>
      </w:r>
    </w:p>
    <w:p w14:paraId="637A2803"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w:t>
      </w:r>
    </w:p>
    <w:p w14:paraId="605DE962"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b) Omitir o no asegurar oportunamente fondos, valores o bienes o no lo hicieren en la cuantía requerida, teniendo el deber legal, reglamentario, contractual o estatutario de hacerlo.”</w:t>
      </w:r>
    </w:p>
    <w:p w14:paraId="0DCF3CD5" w14:textId="77777777" w:rsidR="0079410A" w:rsidRPr="0079410A" w:rsidRDefault="0079410A" w:rsidP="0079410A">
      <w:pPr>
        <w:spacing w:after="0" w:line="240" w:lineRule="auto"/>
        <w:ind w:hanging="2"/>
        <w:jc w:val="both"/>
        <w:rPr>
          <w:rFonts w:eastAsia="Arial Narrow" w:cstheme="minorHAnsi"/>
          <w:i/>
          <w:iCs/>
        </w:rPr>
      </w:pPr>
    </w:p>
    <w:p w14:paraId="625D5DE4"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“Art. 107. Los órganos de control fiscal verificarán que los bienes del estado estén debidamente amparados por una póliza de seguros o un fondo especial creado para tal fin, pudiendo establecer responsabilidad fiscal a los tomadores cuando las circunstancias lo ameriten.”</w:t>
      </w:r>
    </w:p>
    <w:p w14:paraId="32E7DB9B" w14:textId="77777777" w:rsidR="0079410A" w:rsidRPr="0079410A" w:rsidRDefault="0079410A" w:rsidP="0079410A">
      <w:pPr>
        <w:spacing w:after="0" w:line="240" w:lineRule="auto"/>
        <w:ind w:hanging="2"/>
        <w:jc w:val="both"/>
        <w:rPr>
          <w:rFonts w:eastAsia="Arial Narrow" w:cstheme="minorHAnsi"/>
          <w:i/>
          <w:iCs/>
        </w:rPr>
      </w:pPr>
    </w:p>
    <w:p w14:paraId="03E092BE"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De allí que los servidores públicos de la UNIVERSIDAD DISTRITAL FRANCISCO JOSÉ DE CALDAS están sometidos al imperio de la Ley 1592 de 2019, la cual en su artículo 38 numeral 22 establece como deber de todo servidor público: </w:t>
      </w:r>
    </w:p>
    <w:p w14:paraId="596A36CC" w14:textId="77777777" w:rsidR="0079410A" w:rsidRPr="0079410A" w:rsidRDefault="0079410A" w:rsidP="0079410A">
      <w:pPr>
        <w:spacing w:after="0" w:line="240" w:lineRule="auto"/>
        <w:ind w:hanging="2"/>
        <w:jc w:val="both"/>
        <w:rPr>
          <w:rFonts w:eastAsia="Arial Narrow" w:cstheme="minorHAnsi"/>
          <w:i/>
          <w:iCs/>
        </w:rPr>
      </w:pPr>
    </w:p>
    <w:p w14:paraId="5AC51DA7"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22. Vigilar y salvaguardar los bienes y valores que le han sido encomendados y cuidar que sean utilizados debida y racionalmente, de conformidad con los fines a que han sido destinados.”, en concordancia con el numeral 13 del artículo 57 de la citada ley, que tipifica como falta gravísima la de “No asegurar por su valor real los bienes del Estado ni hacer las apropiaciones presupuestales pertinentes”</w:t>
      </w:r>
    </w:p>
    <w:p w14:paraId="570F7EEF" w14:textId="77777777" w:rsidR="0079410A" w:rsidRPr="0079410A" w:rsidRDefault="0079410A" w:rsidP="0079410A">
      <w:pPr>
        <w:spacing w:after="0" w:line="240" w:lineRule="auto"/>
        <w:ind w:hanging="2"/>
        <w:jc w:val="both"/>
        <w:rPr>
          <w:rFonts w:eastAsia="Arial Narrow" w:cstheme="minorHAnsi"/>
          <w:i/>
          <w:iCs/>
        </w:rPr>
      </w:pPr>
    </w:p>
    <w:p w14:paraId="08858CEA"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A su vez, el numeral 1 del artículo 62 de la Ley 1592 de 2019 (Código Disciplinario Único) señala que constituye una falta gravísima </w:t>
      </w:r>
    </w:p>
    <w:p w14:paraId="067BAAAD" w14:textId="77777777" w:rsidR="0079410A" w:rsidRPr="0079410A" w:rsidRDefault="0079410A" w:rsidP="0079410A">
      <w:pPr>
        <w:spacing w:after="0" w:line="240" w:lineRule="auto"/>
        <w:ind w:hanging="2"/>
        <w:jc w:val="both"/>
        <w:rPr>
          <w:rFonts w:eastAsia="Arial Narrow" w:cstheme="minorHAnsi"/>
          <w:i/>
          <w:iCs/>
        </w:rPr>
      </w:pPr>
    </w:p>
    <w:p w14:paraId="514F7521" w14:textId="77777777" w:rsidR="0079410A" w:rsidRPr="0079410A" w:rsidRDefault="0079410A" w:rsidP="0079410A">
      <w:pPr>
        <w:spacing w:after="0" w:line="240" w:lineRule="auto"/>
        <w:ind w:hanging="2"/>
        <w:jc w:val="both"/>
        <w:rPr>
          <w:rFonts w:eastAsia="Arial Narrow" w:cstheme="minorHAnsi"/>
          <w:i/>
          <w:iCs/>
        </w:rPr>
      </w:pPr>
      <w:r w:rsidRPr="0079410A">
        <w:rPr>
          <w:rFonts w:eastAsia="Arial Narrow" w:cstheme="minorHAnsi"/>
          <w:i/>
          <w:iCs/>
        </w:rPr>
        <w:t xml:space="preserve">“Dar lugar a que por culpa gravísima se extravíen, pierda o dañen bienes del Estado o a cargo </w:t>
      </w:r>
      <w:proofErr w:type="gramStart"/>
      <w:r w:rsidRPr="0079410A">
        <w:rPr>
          <w:rFonts w:eastAsia="Arial Narrow" w:cstheme="minorHAnsi"/>
          <w:i/>
          <w:iCs/>
        </w:rPr>
        <w:t>del mismo</w:t>
      </w:r>
      <w:proofErr w:type="gramEnd"/>
      <w:r w:rsidRPr="0079410A">
        <w:rPr>
          <w:rFonts w:eastAsia="Arial Narrow" w:cstheme="minorHAnsi"/>
          <w:i/>
          <w:iCs/>
        </w:rPr>
        <w:t>, o de empresas o instituciones en que este tenga parte o bienes de particulares cuya administración o custodia se le haya confiado por razón de sus funciones, en cuantía igual o superior a quinientos (500) salarios mínimos legales mensuales”.</w:t>
      </w:r>
    </w:p>
    <w:p w14:paraId="704D5B5C" w14:textId="77777777" w:rsidR="0079410A" w:rsidRPr="0079410A" w:rsidRDefault="0079410A" w:rsidP="0079410A">
      <w:pPr>
        <w:spacing w:after="0" w:line="240" w:lineRule="auto"/>
        <w:ind w:hanging="2"/>
        <w:jc w:val="both"/>
        <w:rPr>
          <w:rFonts w:eastAsia="Arial Narrow" w:cstheme="minorHAnsi"/>
          <w:i/>
          <w:iCs/>
        </w:rPr>
      </w:pPr>
    </w:p>
    <w:p w14:paraId="62B6D999"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i/>
          <w:iCs/>
        </w:rPr>
        <w:t>De allí que, en Colombia, las entidades estatales dentro de sus obligaciones tengan la de velar por la conservación de la integridad del patrimonio del Estado, representado en los bienes, patrimonio e intereses respecto de los cuales tales entidades públicas son titulares o por los cuales deban responder.”</w:t>
      </w:r>
      <w:r w:rsidRPr="0079410A">
        <w:rPr>
          <w:rFonts w:eastAsia="Arial Narrow" w:cstheme="minorHAnsi"/>
        </w:rPr>
        <w:t>.</w:t>
      </w:r>
    </w:p>
    <w:p w14:paraId="1BC6A21E" w14:textId="77777777" w:rsidR="0079410A" w:rsidRPr="0079410A" w:rsidRDefault="0079410A" w:rsidP="0079410A">
      <w:pPr>
        <w:spacing w:after="0" w:line="240" w:lineRule="auto"/>
        <w:ind w:hanging="2"/>
        <w:jc w:val="both"/>
        <w:rPr>
          <w:rFonts w:eastAsia="Arial Narrow" w:cstheme="minorHAnsi"/>
        </w:rPr>
      </w:pPr>
    </w:p>
    <w:p w14:paraId="2E462314"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rPr>
        <w:t xml:space="preserve">Por otra parte, existen normas especiales que regulan la contratación de determinados seguros: </w:t>
      </w:r>
    </w:p>
    <w:p w14:paraId="53BC895C" w14:textId="77777777" w:rsidR="0079410A" w:rsidRPr="0079410A" w:rsidRDefault="0079410A" w:rsidP="0079410A">
      <w:pPr>
        <w:spacing w:after="0" w:line="240" w:lineRule="auto"/>
        <w:ind w:hanging="2"/>
        <w:jc w:val="both"/>
        <w:rPr>
          <w:rFonts w:eastAsia="Arial Narrow" w:cstheme="minorHAnsi"/>
        </w:rPr>
      </w:pPr>
    </w:p>
    <w:p w14:paraId="02EE7920" w14:textId="77777777" w:rsidR="0079410A" w:rsidRPr="0079410A" w:rsidRDefault="0079410A" w:rsidP="0079410A">
      <w:pPr>
        <w:pStyle w:val="Prrafodelista"/>
        <w:numPr>
          <w:ilvl w:val="0"/>
          <w:numId w:val="19"/>
        </w:numPr>
        <w:suppressAutoHyphens/>
        <w:spacing w:after="0" w:line="240" w:lineRule="auto"/>
        <w:jc w:val="both"/>
        <w:textDirection w:val="btLr"/>
        <w:textAlignment w:val="top"/>
        <w:outlineLvl w:val="0"/>
        <w:rPr>
          <w:rFonts w:eastAsia="Arial Narrow" w:cstheme="minorHAnsi"/>
        </w:rPr>
      </w:pPr>
      <w:r w:rsidRPr="0079410A">
        <w:rPr>
          <w:rFonts w:eastAsia="Arial Narrow" w:cstheme="minorHAnsi"/>
          <w:b/>
          <w:bCs/>
        </w:rPr>
        <w:t>Seguro de Daños Corporales Causados a la Personas en Accidentes de Tránsito - SOAT</w:t>
      </w:r>
      <w:r w:rsidRPr="0079410A">
        <w:rPr>
          <w:rFonts w:eastAsia="Arial Narrow" w:cstheme="minorHAnsi"/>
        </w:rPr>
        <w:t>: El Estatuto Orgánico del Sistema Financiero, artículo 192, determina que para transitar por el territorio nacional todo vehículo automotor deberá estar amparado por un seguro obligatorio vigente que cubra los daños corporales que se causen a las personas en accidentes de tránsito, el cual debe constituirse con las coberturas y cuantías establecidas en el artículo 112 del decreto 0019 de 2012.</w:t>
      </w:r>
    </w:p>
    <w:p w14:paraId="11A966EB" w14:textId="77777777" w:rsidR="0079410A" w:rsidRPr="0079410A" w:rsidRDefault="0079410A" w:rsidP="0079410A">
      <w:pPr>
        <w:spacing w:after="0" w:line="240" w:lineRule="auto"/>
        <w:ind w:hanging="2"/>
        <w:jc w:val="both"/>
        <w:rPr>
          <w:rFonts w:eastAsia="Arial Narrow" w:cstheme="minorHAnsi"/>
        </w:rPr>
      </w:pPr>
    </w:p>
    <w:p w14:paraId="2ADDF1E2" w14:textId="77777777" w:rsidR="0079410A" w:rsidRPr="0079410A" w:rsidRDefault="0079410A" w:rsidP="0079410A">
      <w:pPr>
        <w:pStyle w:val="Prrafodelista"/>
        <w:numPr>
          <w:ilvl w:val="0"/>
          <w:numId w:val="19"/>
        </w:numPr>
        <w:suppressAutoHyphens/>
        <w:spacing w:after="0" w:line="240" w:lineRule="auto"/>
        <w:jc w:val="both"/>
        <w:textDirection w:val="btLr"/>
        <w:textAlignment w:val="top"/>
        <w:outlineLvl w:val="0"/>
        <w:rPr>
          <w:rFonts w:eastAsia="Arial Narrow" w:cstheme="minorHAnsi"/>
        </w:rPr>
      </w:pPr>
      <w:r w:rsidRPr="0079410A">
        <w:rPr>
          <w:rFonts w:eastAsia="Arial Narrow" w:cstheme="minorHAnsi"/>
          <w:b/>
          <w:bCs/>
        </w:rPr>
        <w:t>Seguro Global de Manejo</w:t>
      </w:r>
      <w:r w:rsidRPr="0079410A">
        <w:rPr>
          <w:rFonts w:eastAsia="Arial Narrow" w:cstheme="minorHAnsi"/>
        </w:rPr>
        <w:t>: Amparar a la Universidad Distrital Francisco José de Caldas contra los riesgos que impliquen menoscabo de sus fondos y bienes, causados por los empleados en ejercicio de sus cargos o sus reemplazos, por actos que se tipifiquen como delitos contra la administración pública o fallos con responsabilidad fiscal, de acuerdo con la resolución 014249 del 15/05/1992, aprobada por la Contraloría General de la República.</w:t>
      </w:r>
    </w:p>
    <w:p w14:paraId="1F953189" w14:textId="77777777" w:rsidR="0079410A" w:rsidRPr="0079410A" w:rsidRDefault="0079410A" w:rsidP="0079410A">
      <w:pPr>
        <w:spacing w:after="0" w:line="240" w:lineRule="auto"/>
        <w:ind w:hanging="2"/>
        <w:jc w:val="both"/>
        <w:rPr>
          <w:rFonts w:eastAsia="Arial Narrow" w:cstheme="minorHAnsi"/>
        </w:rPr>
      </w:pPr>
    </w:p>
    <w:p w14:paraId="399A24B8" w14:textId="77777777" w:rsidR="0079410A" w:rsidRPr="0079410A" w:rsidRDefault="0079410A" w:rsidP="0079410A">
      <w:pPr>
        <w:spacing w:after="0" w:line="240" w:lineRule="auto"/>
        <w:ind w:hanging="2"/>
        <w:jc w:val="both"/>
        <w:rPr>
          <w:rFonts w:eastAsia="Arial Narrow" w:cstheme="minorHAnsi"/>
        </w:rPr>
      </w:pPr>
    </w:p>
    <w:p w14:paraId="697F796A" w14:textId="77777777" w:rsidR="0079410A" w:rsidRPr="0079410A" w:rsidRDefault="0079410A" w:rsidP="0079410A">
      <w:pPr>
        <w:spacing w:after="0" w:line="240" w:lineRule="auto"/>
        <w:ind w:hanging="2"/>
        <w:jc w:val="both"/>
        <w:rPr>
          <w:rFonts w:eastAsia="Arial Narrow" w:cstheme="minorHAnsi"/>
          <w:b/>
          <w:bCs/>
        </w:rPr>
      </w:pPr>
      <w:r w:rsidRPr="0079410A">
        <w:rPr>
          <w:rFonts w:eastAsia="Arial Narrow" w:cstheme="minorHAnsi"/>
          <w:b/>
          <w:bCs/>
        </w:rPr>
        <w:t>El Contrato de Seguro</w:t>
      </w:r>
    </w:p>
    <w:p w14:paraId="5A61B7CA" w14:textId="77777777" w:rsidR="0079410A" w:rsidRPr="0079410A" w:rsidRDefault="0079410A" w:rsidP="0079410A">
      <w:pPr>
        <w:spacing w:after="0" w:line="240" w:lineRule="auto"/>
        <w:ind w:hanging="2"/>
        <w:jc w:val="both"/>
        <w:rPr>
          <w:rFonts w:eastAsia="Arial Narrow" w:cstheme="minorHAnsi"/>
        </w:rPr>
      </w:pPr>
    </w:p>
    <w:p w14:paraId="71D4A9E1" w14:textId="77777777" w:rsidR="0079410A" w:rsidRPr="0079410A" w:rsidRDefault="0079410A" w:rsidP="0079410A">
      <w:pPr>
        <w:spacing w:after="0" w:line="240" w:lineRule="auto"/>
        <w:ind w:hanging="2"/>
        <w:jc w:val="both"/>
        <w:rPr>
          <w:rFonts w:eastAsia="Arial Narrow" w:cstheme="minorHAnsi"/>
        </w:rPr>
      </w:pPr>
      <w:r w:rsidRPr="0079410A">
        <w:rPr>
          <w:rFonts w:eastAsia="Arial Narrow" w:cstheme="minorHAnsi"/>
        </w:rPr>
        <w:t>El contrato de seguro está regulado por:</w:t>
      </w:r>
    </w:p>
    <w:p w14:paraId="0686135B" w14:textId="77777777" w:rsidR="0079410A" w:rsidRPr="0079410A" w:rsidRDefault="0079410A" w:rsidP="0079410A">
      <w:pPr>
        <w:spacing w:after="0" w:line="240" w:lineRule="auto"/>
        <w:ind w:hanging="2"/>
        <w:jc w:val="both"/>
        <w:rPr>
          <w:rFonts w:eastAsia="Arial Narrow" w:cstheme="minorHAnsi"/>
        </w:rPr>
      </w:pPr>
    </w:p>
    <w:p w14:paraId="60A12BD9"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El Código de Comercio en el Título V, Capítulo I - Principios Comunes a los Seguros Terrestres, Capítulo II – Seguros de Daños y Capítulo III Seguros de Personas, Artículo 1036 y ss. Lo define este artículo así: “El seguro es un contrato consensual, bilateral, oneroso, aleatorio y de ejecución sucesiva”.</w:t>
      </w:r>
    </w:p>
    <w:p w14:paraId="221C20F7"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Estatuto Orgánico del Sistema Financiero (EOSF)</w:t>
      </w:r>
    </w:p>
    <w:p w14:paraId="2C29643F"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Circular Externa 007 de 1996 de la Superintendencia Bancaria de Colombia.</w:t>
      </w:r>
    </w:p>
    <w:p w14:paraId="4AF7876C" w14:textId="77777777" w:rsidR="0079410A" w:rsidRPr="0079410A" w:rsidRDefault="0079410A" w:rsidP="0079410A">
      <w:pPr>
        <w:pStyle w:val="Prrafodelista"/>
        <w:numPr>
          <w:ilvl w:val="0"/>
          <w:numId w:val="21"/>
        </w:numPr>
        <w:suppressAutoHyphens/>
        <w:spacing w:after="0" w:line="240" w:lineRule="auto"/>
        <w:ind w:left="284" w:hanging="142"/>
        <w:jc w:val="both"/>
        <w:textDirection w:val="btLr"/>
        <w:textAlignment w:val="top"/>
        <w:outlineLvl w:val="0"/>
        <w:rPr>
          <w:rFonts w:eastAsia="Arial Narrow" w:cstheme="minorHAnsi"/>
        </w:rPr>
      </w:pPr>
      <w:r w:rsidRPr="0079410A">
        <w:rPr>
          <w:rFonts w:eastAsia="Arial Narrow" w:cstheme="minorHAnsi"/>
        </w:rPr>
        <w:t>Circular Externa 100 de 1995 de la Superintendencia Bancaria de Colombia.</w:t>
      </w:r>
    </w:p>
    <w:p w14:paraId="48CEFA0F" w14:textId="6CE6824F" w:rsidR="00914199" w:rsidRPr="0079410A" w:rsidRDefault="0079410A" w:rsidP="002B086D">
      <w:pPr>
        <w:pStyle w:val="Prrafodelista"/>
        <w:widowControl w:val="0"/>
        <w:numPr>
          <w:ilvl w:val="0"/>
          <w:numId w:val="20"/>
        </w:numPr>
        <w:tabs>
          <w:tab w:val="left" w:pos="0"/>
          <w:tab w:val="left" w:pos="709"/>
        </w:tabs>
        <w:suppressAutoHyphens/>
        <w:spacing w:after="0" w:line="240" w:lineRule="auto"/>
        <w:ind w:left="284" w:hanging="142"/>
        <w:jc w:val="both"/>
        <w:textDirection w:val="btLr"/>
        <w:textAlignment w:val="top"/>
        <w:outlineLvl w:val="0"/>
        <w:rPr>
          <w:rFonts w:cstheme="minorHAnsi"/>
        </w:rPr>
      </w:pPr>
      <w:r w:rsidRPr="0079410A">
        <w:rPr>
          <w:rFonts w:eastAsia="Arial Narrow" w:cstheme="minorHAnsi"/>
        </w:rPr>
        <w:t xml:space="preserve">Se complementa esta normatividad con otras circulares emitidas por la Superintendencia </w:t>
      </w:r>
      <w:r w:rsidRPr="0079410A">
        <w:rPr>
          <w:rFonts w:eastAsia="Arial Narrow" w:cstheme="minorHAnsi"/>
        </w:rPr>
        <w:lastRenderedPageBreak/>
        <w:t>Financiera, entidad que regula la actividad de las compañías aseguradoras y de los intermediarios de seguros. Igualmente, debe tenerse presente, las normas que expide el Congreso de la República en materia de intermediación financiera, actividad aseguradora y otras disposiciones.</w:t>
      </w:r>
    </w:p>
    <w:p w14:paraId="0ED4CEB3" w14:textId="77777777" w:rsidR="00356BEA" w:rsidRDefault="00356BEA" w:rsidP="00356BEA">
      <w:pPr>
        <w:spacing w:after="160" w:line="259" w:lineRule="auto"/>
        <w:rPr>
          <w:rFonts w:cstheme="minorHAnsi"/>
          <w:b/>
          <w:bCs/>
          <w:u w:val="single"/>
        </w:rPr>
      </w:pPr>
    </w:p>
    <w:p w14:paraId="1830AAB4" w14:textId="720A43B8" w:rsidR="00C50EC4" w:rsidRPr="00F25B58" w:rsidRDefault="00C50EC4" w:rsidP="00356BEA">
      <w:pPr>
        <w:spacing w:after="160" w:line="259" w:lineRule="auto"/>
        <w:rPr>
          <w:rFonts w:cstheme="minorHAnsi"/>
          <w:b/>
          <w:bCs/>
          <w:u w:val="single"/>
        </w:rPr>
      </w:pPr>
      <w:r w:rsidRPr="00F25B58">
        <w:rPr>
          <w:rFonts w:cstheme="minorHAnsi"/>
          <w:b/>
          <w:bCs/>
          <w:u w:val="single"/>
        </w:rPr>
        <w:t>PERSPECTIVA COMERCIAL</w:t>
      </w:r>
    </w:p>
    <w:p w14:paraId="0AD101C1" w14:textId="77777777" w:rsidR="008C436F" w:rsidRPr="00F25B58" w:rsidRDefault="008C436F" w:rsidP="0073162A">
      <w:pPr>
        <w:pStyle w:val="Prrafodelista"/>
        <w:numPr>
          <w:ilvl w:val="0"/>
          <w:numId w:val="3"/>
        </w:numPr>
        <w:spacing w:after="0" w:line="240" w:lineRule="auto"/>
        <w:jc w:val="both"/>
        <w:rPr>
          <w:rFonts w:cstheme="minorHAnsi"/>
          <w:b/>
          <w:bCs/>
        </w:rPr>
      </w:pPr>
      <w:r w:rsidRPr="00F25B58">
        <w:rPr>
          <w:rFonts w:cstheme="minorHAnsi"/>
          <w:b/>
          <w:bCs/>
        </w:rPr>
        <w:t>Importancia del Sector en el Contexto Nacional</w:t>
      </w:r>
    </w:p>
    <w:p w14:paraId="0F3CFBD8" w14:textId="77777777" w:rsidR="008C436F" w:rsidRPr="00F25B58" w:rsidRDefault="008C436F" w:rsidP="00D663CA">
      <w:pPr>
        <w:spacing w:after="0" w:line="240" w:lineRule="auto"/>
        <w:jc w:val="both"/>
        <w:rPr>
          <w:rFonts w:eastAsia="Times New Roman" w:cstheme="minorHAnsi"/>
          <w:lang w:eastAsia="es-CO"/>
        </w:rPr>
      </w:pPr>
    </w:p>
    <w:p w14:paraId="31963FD2" w14:textId="77777777" w:rsidR="008C436F" w:rsidRPr="00F25B58" w:rsidRDefault="008C436F" w:rsidP="00D663CA">
      <w:pPr>
        <w:spacing w:after="0" w:line="240" w:lineRule="auto"/>
        <w:jc w:val="both"/>
        <w:rPr>
          <w:rFonts w:eastAsia="Times New Roman" w:cstheme="minorHAnsi"/>
          <w:lang w:eastAsia="es-CO"/>
        </w:rPr>
      </w:pPr>
      <w:r w:rsidRPr="00F25B58">
        <w:rPr>
          <w:rFonts w:eastAsia="Times New Roman" w:cstheme="minorHAnsi"/>
          <w:lang w:eastAsia="es-CO"/>
        </w:rPr>
        <w:t xml:space="preserve">El papel de la industria aseguradora en los países es fundamental por varias razones; por la naturaleza y la dinámica del negocio, el sector asegurador es un inversionista institucional en las naciones, es fundamental en la promoción del ahorro personal y protege el patrimonio del asegurado contra cualquier eventualidad. </w:t>
      </w:r>
    </w:p>
    <w:p w14:paraId="6C1B3786" w14:textId="77777777" w:rsidR="008C436F" w:rsidRPr="00F25B58" w:rsidRDefault="008C436F" w:rsidP="008C436F">
      <w:pPr>
        <w:spacing w:after="0" w:line="240" w:lineRule="auto"/>
        <w:jc w:val="both"/>
        <w:rPr>
          <w:rFonts w:eastAsia="Times New Roman" w:cstheme="minorHAnsi"/>
          <w:lang w:eastAsia="es-CO"/>
        </w:rPr>
      </w:pPr>
    </w:p>
    <w:p w14:paraId="6B2E0085"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capacidad de indemnización que ofrecen las aseguradoras permite mantener los niveles de producción de las empresas, previendo el desempleo y contribuyendo al crecimiento económico de cada nación.</w:t>
      </w:r>
    </w:p>
    <w:p w14:paraId="5ED6DD6F" w14:textId="77777777" w:rsidR="008C436F" w:rsidRPr="00F25B58" w:rsidRDefault="008C436F" w:rsidP="008C436F">
      <w:pPr>
        <w:spacing w:after="0" w:line="240" w:lineRule="auto"/>
        <w:jc w:val="both"/>
        <w:rPr>
          <w:rFonts w:eastAsia="Times New Roman" w:cstheme="minorHAnsi"/>
          <w:lang w:eastAsia="es-CO"/>
        </w:rPr>
      </w:pPr>
    </w:p>
    <w:p w14:paraId="73F9D38C"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Por ser un renglón tan importante de la economía, el sector asegurador se encuentra bajo la vigilancia de la Superintendencia Financiera, entidad que es la encargada de emitir toda la regulación y autorización al respecto.</w:t>
      </w:r>
    </w:p>
    <w:p w14:paraId="52359519" w14:textId="77777777" w:rsidR="008C436F" w:rsidRPr="00F25B58" w:rsidRDefault="008C436F" w:rsidP="008C436F">
      <w:pPr>
        <w:spacing w:after="0" w:line="240" w:lineRule="auto"/>
        <w:jc w:val="both"/>
        <w:rPr>
          <w:rFonts w:eastAsia="Times New Roman" w:cstheme="minorHAnsi"/>
          <w:lang w:eastAsia="es-CO"/>
        </w:rPr>
      </w:pPr>
    </w:p>
    <w:p w14:paraId="6CA5C801"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actividad aseguradora es uno de los tres pilares de los mercados financieros, junto con la actividad bancaria y el mercado de valores.</w:t>
      </w:r>
    </w:p>
    <w:p w14:paraId="2EF6CC18" w14:textId="77777777" w:rsidR="008C436F" w:rsidRPr="00F25B58" w:rsidRDefault="008C436F" w:rsidP="008C436F">
      <w:pPr>
        <w:spacing w:after="0" w:line="240" w:lineRule="auto"/>
        <w:jc w:val="both"/>
        <w:rPr>
          <w:rFonts w:eastAsia="Times New Roman" w:cstheme="minorHAnsi"/>
          <w:lang w:eastAsia="es-CO"/>
        </w:rPr>
      </w:pPr>
    </w:p>
    <w:p w14:paraId="4D0086C4"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Su importancia estratégica, social y económica lleva a que estén sometidas a estricta supervisión administrativa con reglas propias de funcionamiento, control e inspección, como también al control estatal a través de las legislaciones y superintendencia creada para tal fin. Las empresas de seguros actúan como intermediarios financieros con unas características especiales que las diferencian de las restantes empresas financieras.</w:t>
      </w:r>
    </w:p>
    <w:p w14:paraId="283EE313" w14:textId="77777777" w:rsidR="008C436F" w:rsidRPr="00F25B58" w:rsidRDefault="008C436F" w:rsidP="008C436F">
      <w:pPr>
        <w:spacing w:after="0" w:line="240" w:lineRule="auto"/>
        <w:jc w:val="both"/>
        <w:rPr>
          <w:rFonts w:eastAsia="Times New Roman" w:cstheme="minorHAnsi"/>
          <w:lang w:eastAsia="es-CO"/>
        </w:rPr>
      </w:pPr>
    </w:p>
    <w:p w14:paraId="0F9A0987"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Una aseguradora es la empresa especializada en el seguro cuya actividad consiste en producir el servicio de seguridad, cubriendo determinados riesgos económicos (asegurables) a las unidades económicas de producción y consumo. Para poder afrontar los riesgos derivados de su actividad, las entidades aseguradoras deben disponer de los recursos financieros suficientes y, en consecuencia, la legislación les impone determinadas restricciones, entre ellas, la prohibición de desarrollar esta actividad por personas naturales; de ejercer actividades distintas al ramo por las empresas aseguradoras; y estar sometidas al control por el Estado en todo momento.</w:t>
      </w:r>
    </w:p>
    <w:p w14:paraId="236C274F" w14:textId="77777777" w:rsidR="008C436F" w:rsidRPr="00F25B58" w:rsidRDefault="008C436F" w:rsidP="008C436F">
      <w:pPr>
        <w:spacing w:after="0" w:line="240" w:lineRule="auto"/>
        <w:jc w:val="both"/>
        <w:rPr>
          <w:rFonts w:eastAsia="Times New Roman" w:cstheme="minorHAnsi"/>
          <w:lang w:eastAsia="es-CO"/>
        </w:rPr>
      </w:pPr>
    </w:p>
    <w:p w14:paraId="072CBC12"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 xml:space="preserve">La actividad que desempeña la aseguradora es la de una operación con ánimo de lucro, a través de las aportaciones de muchos sujetos expuestos a eventos económicos desfavorables, para destinar lo así acumulado, a los pocos a quienes se presenta la necesidad. Sigue el principio de mutualidad, buscando la solidaridad entre un grupo sometido a riesgos. Esta mutualidad se organiza empresarialmente creando un patrimonio que haga frente a los riesgos. El efecto desfavorable de estos riesgos en su conjunto queda aminorado sustancialmente, porque los riesgos individuales se compensan: sólo unos pocos asegurados los sufren, frente a los muchos que contribuyen al pago de la cobertura. Ello permite una gestión estadística del riesgo, desde </w:t>
      </w:r>
      <w:r w:rsidRPr="00F25B58">
        <w:rPr>
          <w:rFonts w:eastAsia="Times New Roman" w:cstheme="minorHAnsi"/>
          <w:lang w:eastAsia="es-CO"/>
        </w:rPr>
        <w:lastRenderedPageBreak/>
        <w:t>el punto de vista económico, aunque se conserve individualmente desde el punto de vista jurídico.</w:t>
      </w:r>
    </w:p>
    <w:p w14:paraId="1343CB9D" w14:textId="77777777" w:rsidR="00356BEA" w:rsidRDefault="00356BEA" w:rsidP="00356BEA">
      <w:pPr>
        <w:spacing w:after="160" w:line="259" w:lineRule="auto"/>
        <w:rPr>
          <w:rFonts w:eastAsia="Times New Roman" w:cstheme="minorHAnsi"/>
          <w:lang w:eastAsia="es-CO"/>
        </w:rPr>
      </w:pPr>
    </w:p>
    <w:p w14:paraId="28921426" w14:textId="287107C5" w:rsidR="008C436F" w:rsidRPr="00F25B58" w:rsidRDefault="008C436F" w:rsidP="00356BEA">
      <w:pPr>
        <w:spacing w:after="160" w:line="259" w:lineRule="auto"/>
        <w:rPr>
          <w:rFonts w:eastAsia="Times New Roman" w:cstheme="minorHAnsi"/>
          <w:lang w:eastAsia="es-CO"/>
        </w:rPr>
      </w:pPr>
      <w:r w:rsidRPr="00F25B58">
        <w:rPr>
          <w:rFonts w:eastAsia="Times New Roman" w:cstheme="minorHAnsi"/>
          <w:lang w:eastAsia="es-CO"/>
        </w:rPr>
        <w:t>Por lo tanto, las entidades de seguro deben tener presente ciertos principios técnicos:</w:t>
      </w:r>
    </w:p>
    <w:p w14:paraId="071BC023" w14:textId="77777777" w:rsidR="008C436F" w:rsidRPr="00F25B58" w:rsidRDefault="008C436F" w:rsidP="008C436F">
      <w:pPr>
        <w:spacing w:after="0" w:line="240" w:lineRule="auto"/>
        <w:jc w:val="both"/>
        <w:rPr>
          <w:rFonts w:eastAsia="Times New Roman" w:cstheme="minorHAnsi"/>
          <w:lang w:eastAsia="es-CO"/>
        </w:rPr>
      </w:pPr>
    </w:p>
    <w:p w14:paraId="4EA6B962" w14:textId="5088B854"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Individualización</w:t>
      </w:r>
      <w:r w:rsidRPr="004872CF">
        <w:rPr>
          <w:rFonts w:eastAsia="Times New Roman" w:cstheme="minorHAnsi"/>
          <w:lang w:eastAsia="es-CO"/>
        </w:rPr>
        <w:t xml:space="preserve">: es necesaria la definición y delimitación de cada uno de los riesgos existentes para clasificarlos y poder evaluarlos y agruparlos. </w:t>
      </w:r>
    </w:p>
    <w:p w14:paraId="6D22C70E" w14:textId="431DCAF1"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acumulación</w:t>
      </w:r>
      <w:r w:rsidRPr="004872CF">
        <w:rPr>
          <w:rFonts w:eastAsia="Times New Roman" w:cstheme="minorHAnsi"/>
          <w:lang w:eastAsia="es-CO"/>
        </w:rPr>
        <w:t xml:space="preserve">: de acuerdo con las leyes de la probabilidad, cuanto mayor es la agrupación de riesgos, menores son los fallos entre la probabilidad teórica y el número de siniestros. </w:t>
      </w:r>
    </w:p>
    <w:p w14:paraId="6A3B57D9" w14:textId="6240786E"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selección de riesgos</w:t>
      </w:r>
      <w:r w:rsidRPr="004872CF">
        <w:rPr>
          <w:rFonts w:eastAsia="Times New Roman" w:cstheme="minorHAnsi"/>
          <w:lang w:eastAsia="es-CO"/>
        </w:rPr>
        <w:t xml:space="preserve">: los aseguradores solo deben aceptar los riesgos que, por su naturaleza, se presuma no originarán necesariamente resultados desequilibrados. </w:t>
      </w:r>
    </w:p>
    <w:p w14:paraId="01A6121A" w14:textId="0AAB6DAB" w:rsidR="008C436F" w:rsidRPr="004872CF" w:rsidRDefault="008C436F" w:rsidP="0073162A">
      <w:pPr>
        <w:pStyle w:val="Prrafodelista"/>
        <w:numPr>
          <w:ilvl w:val="0"/>
          <w:numId w:val="11"/>
        </w:numPr>
        <w:spacing w:after="0" w:line="240" w:lineRule="auto"/>
        <w:jc w:val="both"/>
        <w:rPr>
          <w:rFonts w:eastAsia="Times New Roman" w:cstheme="minorHAnsi"/>
          <w:lang w:eastAsia="es-CO"/>
        </w:rPr>
      </w:pPr>
      <w:r w:rsidRPr="004804F1">
        <w:rPr>
          <w:rFonts w:eastAsia="Times New Roman" w:cstheme="minorHAnsi"/>
          <w:b/>
          <w:bCs/>
          <w:lang w:eastAsia="es-CO"/>
        </w:rPr>
        <w:t>La distribución o división de riesgos</w:t>
      </w:r>
      <w:r w:rsidRPr="004872CF">
        <w:rPr>
          <w:rFonts w:eastAsia="Times New Roman" w:cstheme="minorHAnsi"/>
          <w:lang w:eastAsia="es-CO"/>
        </w:rPr>
        <w:t>: la aseguradora requiere la necesidad de conseguir que los riesgos que asume, en virtud de los contratos de seguro, sean homogéneos cualitativa y cuantitativamente, de forma que se cumpla el principio mutual o de compensación.</w:t>
      </w:r>
    </w:p>
    <w:p w14:paraId="5B1122FF" w14:textId="3E9F469E" w:rsidR="008C436F" w:rsidRDefault="008C436F" w:rsidP="00DA6934">
      <w:pPr>
        <w:spacing w:after="0" w:line="240" w:lineRule="auto"/>
        <w:jc w:val="both"/>
        <w:rPr>
          <w:rFonts w:eastAsia="Times New Roman" w:cstheme="minorHAnsi"/>
          <w:lang w:eastAsia="es-CO"/>
        </w:rPr>
      </w:pPr>
    </w:p>
    <w:p w14:paraId="6CFEBD94" w14:textId="6CD67F35" w:rsidR="008231AC" w:rsidRPr="009C1DDF" w:rsidRDefault="009C1DDF" w:rsidP="0073162A">
      <w:pPr>
        <w:pStyle w:val="Prrafodelista"/>
        <w:numPr>
          <w:ilvl w:val="0"/>
          <w:numId w:val="16"/>
        </w:numPr>
        <w:spacing w:after="0" w:line="240" w:lineRule="auto"/>
        <w:jc w:val="both"/>
        <w:rPr>
          <w:rFonts w:eastAsia="Times New Roman" w:cstheme="minorHAnsi"/>
          <w:b/>
          <w:bCs/>
          <w:lang w:eastAsia="es-CO"/>
        </w:rPr>
      </w:pPr>
      <w:r w:rsidRPr="009C1DDF">
        <w:rPr>
          <w:rFonts w:eastAsia="Times New Roman" w:cstheme="minorHAnsi"/>
          <w:b/>
          <w:bCs/>
          <w:lang w:eastAsia="es-CO"/>
        </w:rPr>
        <w:t>conclusiones área técnica</w:t>
      </w:r>
    </w:p>
    <w:p w14:paraId="7C015C19" w14:textId="77777777" w:rsidR="009C1DDF" w:rsidRDefault="009C1DDF" w:rsidP="00DA6934">
      <w:pPr>
        <w:autoSpaceDE w:val="0"/>
        <w:autoSpaceDN w:val="0"/>
        <w:adjustRightInd w:val="0"/>
        <w:spacing w:after="0" w:line="240" w:lineRule="auto"/>
        <w:jc w:val="both"/>
        <w:rPr>
          <w:rFonts w:ascii="Arial" w:eastAsia="ACaslonPro-Regular" w:hAnsi="Arial" w:cs="Arial"/>
          <w:b/>
          <w:bCs/>
          <w:sz w:val="20"/>
          <w:szCs w:val="20"/>
        </w:rPr>
      </w:pPr>
    </w:p>
    <w:p w14:paraId="2AC4FF96" w14:textId="063D62BB"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Precios</w:t>
      </w:r>
    </w:p>
    <w:p w14:paraId="628DE9B1"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Los precios se mantuvieron estables,</w:t>
      </w:r>
      <w:r>
        <w:rPr>
          <w:rFonts w:ascii="Arial" w:eastAsia="ACaslonPro-Regular" w:hAnsi="Arial" w:cs="Arial"/>
          <w:sz w:val="20"/>
          <w:szCs w:val="20"/>
        </w:rPr>
        <w:t xml:space="preserve"> </w:t>
      </w:r>
      <w:r w:rsidRPr="008E068A">
        <w:rPr>
          <w:rFonts w:ascii="Arial" w:eastAsia="ACaslonPro-Regular" w:hAnsi="Arial" w:cs="Arial"/>
          <w:sz w:val="20"/>
          <w:szCs w:val="20"/>
        </w:rPr>
        <w:t>algunos programas de seguros han podido tener una renovación sin aumento de tasas, sin</w:t>
      </w:r>
      <w:r>
        <w:rPr>
          <w:rFonts w:ascii="Arial" w:eastAsia="ACaslonPro-Regular" w:hAnsi="Arial" w:cs="Arial"/>
          <w:sz w:val="20"/>
          <w:szCs w:val="20"/>
        </w:rPr>
        <w:t xml:space="preserve"> </w:t>
      </w:r>
      <w:r w:rsidRPr="008E068A">
        <w:rPr>
          <w:rFonts w:ascii="Arial" w:eastAsia="ACaslonPro-Regular" w:hAnsi="Arial" w:cs="Arial"/>
          <w:sz w:val="20"/>
          <w:szCs w:val="20"/>
        </w:rPr>
        <w:t>embargo, en los programas donde si hubo un aumento se pudo ver el reflejo del componente</w:t>
      </w:r>
      <w:r>
        <w:rPr>
          <w:rFonts w:ascii="Arial" w:eastAsia="ACaslonPro-Regular" w:hAnsi="Arial" w:cs="Arial"/>
          <w:sz w:val="20"/>
          <w:szCs w:val="20"/>
        </w:rPr>
        <w:t xml:space="preserve"> </w:t>
      </w:r>
      <w:r w:rsidRPr="008E068A">
        <w:rPr>
          <w:rFonts w:ascii="Arial" w:eastAsia="ACaslonPro-Regular" w:hAnsi="Arial" w:cs="Arial"/>
          <w:sz w:val="20"/>
          <w:szCs w:val="20"/>
        </w:rPr>
        <w:t>de riesgo político, algunos negocios donde se necesita capacidad de reaseguros también han</w:t>
      </w:r>
      <w:r>
        <w:rPr>
          <w:rFonts w:ascii="Arial" w:eastAsia="ACaslonPro-Regular" w:hAnsi="Arial" w:cs="Arial"/>
          <w:sz w:val="20"/>
          <w:szCs w:val="20"/>
        </w:rPr>
        <w:t xml:space="preserve"> </w:t>
      </w:r>
      <w:r w:rsidRPr="008E068A">
        <w:rPr>
          <w:rFonts w:ascii="Arial" w:eastAsia="ACaslonPro-Regular" w:hAnsi="Arial" w:cs="Arial"/>
          <w:sz w:val="20"/>
          <w:szCs w:val="20"/>
        </w:rPr>
        <w:t>presentado incrementos en sus tasas</w:t>
      </w:r>
      <w:r>
        <w:rPr>
          <w:rFonts w:ascii="Arial" w:eastAsia="ACaslonPro-Regular" w:hAnsi="Arial" w:cs="Arial"/>
          <w:sz w:val="20"/>
          <w:szCs w:val="20"/>
        </w:rPr>
        <w:t>.</w:t>
      </w:r>
      <w:r w:rsidRPr="00287A3F">
        <w:rPr>
          <w:rFonts w:ascii="Arial" w:eastAsia="ACaslonPro-Regular" w:hAnsi="Arial" w:cs="Arial"/>
          <w:sz w:val="20"/>
          <w:szCs w:val="20"/>
        </w:rPr>
        <w:t xml:space="preserve"> Con aumentos modestos en la mayoría de las líneas de negocio, a menudo impulsados por el reaseguro. </w:t>
      </w:r>
    </w:p>
    <w:p w14:paraId="794B2116"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52413783"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Capacidad</w:t>
      </w:r>
    </w:p>
    <w:p w14:paraId="2AFB736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capacidad siguió siendo en general suficiente, con las principales excepciones de los riesgos de catástrofes cibernéticas y naturales.</w:t>
      </w:r>
    </w:p>
    <w:p w14:paraId="0B8830C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02C5339E"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Suscripción</w:t>
      </w:r>
    </w:p>
    <w:p w14:paraId="6259F3A3"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suscripción se mantuvo cautelosa y conservadora, con un mayor enfoque, incluidas consultas adicionales de los suscriptores, en la sostenibilidad y las prácticas ESG.</w:t>
      </w:r>
    </w:p>
    <w:p w14:paraId="2FE499BF"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6FEB0395"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Límites</w:t>
      </w:r>
    </w:p>
    <w:p w14:paraId="25F56B1C"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 inflación creó la necesidad de límites más grandes, particularmente para la propiedad, mientras que, en otras líneas de negocios, los asegurados continuaron explorando reducciones para reducir los costos de las primas.</w:t>
      </w:r>
    </w:p>
    <w:p w14:paraId="531ACDF0"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465B55F1"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Deducibles</w:t>
      </w:r>
    </w:p>
    <w:p w14:paraId="38FCCBA7"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Los deducibles que expiran se lograron en la mayoría de los casos, con la excepción clave de los riesgos activos de pérdidas y bajo rendimiento.</w:t>
      </w:r>
    </w:p>
    <w:p w14:paraId="551D9BFC" w14:textId="77777777" w:rsidR="00DA6934" w:rsidRDefault="00DA6934" w:rsidP="00DA6934">
      <w:pPr>
        <w:autoSpaceDE w:val="0"/>
        <w:autoSpaceDN w:val="0"/>
        <w:adjustRightInd w:val="0"/>
        <w:spacing w:after="0" w:line="240" w:lineRule="auto"/>
        <w:jc w:val="both"/>
        <w:rPr>
          <w:rFonts w:ascii="Arial" w:eastAsia="ACaslonPro-Regular" w:hAnsi="Arial" w:cs="Arial"/>
          <w:sz w:val="20"/>
          <w:szCs w:val="20"/>
        </w:rPr>
      </w:pPr>
    </w:p>
    <w:p w14:paraId="6BF5F5F9" w14:textId="77777777" w:rsidR="00DA6934" w:rsidRPr="00287A3F" w:rsidRDefault="00DA6934" w:rsidP="00DA6934">
      <w:pPr>
        <w:autoSpaceDE w:val="0"/>
        <w:autoSpaceDN w:val="0"/>
        <w:adjustRightInd w:val="0"/>
        <w:spacing w:after="0" w:line="240" w:lineRule="auto"/>
        <w:jc w:val="both"/>
        <w:rPr>
          <w:rFonts w:ascii="Arial" w:eastAsia="ACaslonPro-Regular" w:hAnsi="Arial" w:cs="Arial"/>
          <w:b/>
          <w:bCs/>
          <w:sz w:val="20"/>
          <w:szCs w:val="20"/>
        </w:rPr>
      </w:pPr>
      <w:r w:rsidRPr="00287A3F">
        <w:rPr>
          <w:rFonts w:ascii="Arial" w:eastAsia="ACaslonPro-Regular" w:hAnsi="Arial" w:cs="Arial"/>
          <w:b/>
          <w:bCs/>
          <w:sz w:val="20"/>
          <w:szCs w:val="20"/>
        </w:rPr>
        <w:t>Coberturas</w:t>
      </w:r>
    </w:p>
    <w:p w14:paraId="55EA5315" w14:textId="77777777" w:rsidR="00DA6934" w:rsidRPr="00EC023B" w:rsidRDefault="00DA6934" w:rsidP="00DA6934">
      <w:pPr>
        <w:autoSpaceDE w:val="0"/>
        <w:autoSpaceDN w:val="0"/>
        <w:adjustRightInd w:val="0"/>
        <w:spacing w:after="0" w:line="240" w:lineRule="auto"/>
        <w:jc w:val="both"/>
        <w:rPr>
          <w:rFonts w:ascii="Arial" w:eastAsia="ACaslonPro-Regular" w:hAnsi="Arial" w:cs="Arial"/>
          <w:sz w:val="20"/>
          <w:szCs w:val="20"/>
        </w:rPr>
      </w:pPr>
      <w:r w:rsidRPr="00287A3F">
        <w:rPr>
          <w:rFonts w:ascii="Arial" w:eastAsia="ACaslonPro-Regular" w:hAnsi="Arial" w:cs="Arial"/>
          <w:sz w:val="20"/>
          <w:szCs w:val="20"/>
        </w:rPr>
        <w:t>Las coberturas se mantuvieron en general estables; sin embargo, los términos y condiciones relacionados con catástrofes naturales, violencia política y huelgas, disturbios y conmoción civil continuaron siendo restringidos y limitados.</w:t>
      </w:r>
    </w:p>
    <w:p w14:paraId="19822FC3" w14:textId="77777777" w:rsidR="00DA6934" w:rsidRPr="00EC023B" w:rsidRDefault="00DA6934" w:rsidP="00DA6934">
      <w:pPr>
        <w:autoSpaceDE w:val="0"/>
        <w:autoSpaceDN w:val="0"/>
        <w:adjustRightInd w:val="0"/>
        <w:spacing w:after="0" w:line="240" w:lineRule="auto"/>
        <w:jc w:val="both"/>
        <w:rPr>
          <w:rFonts w:ascii="Arial" w:eastAsia="ACaslonPro-Regular" w:hAnsi="Arial" w:cs="Arial"/>
          <w:sz w:val="20"/>
          <w:szCs w:val="20"/>
        </w:rPr>
      </w:pPr>
    </w:p>
    <w:p w14:paraId="326F0B3B" w14:textId="77777777" w:rsidR="00DA6934" w:rsidRPr="00DA6934" w:rsidRDefault="00DA6934" w:rsidP="00DA6934">
      <w:pPr>
        <w:autoSpaceDE w:val="0"/>
        <w:autoSpaceDN w:val="0"/>
        <w:adjustRightInd w:val="0"/>
        <w:spacing w:after="0" w:line="240" w:lineRule="auto"/>
        <w:jc w:val="both"/>
        <w:rPr>
          <w:rFonts w:eastAsia="ACaslonPro-Regular" w:cstheme="minorHAnsi"/>
        </w:rPr>
      </w:pPr>
    </w:p>
    <w:p w14:paraId="55F9557A" w14:textId="77777777" w:rsidR="009C1DDF" w:rsidRDefault="009C1DDF">
      <w:pPr>
        <w:spacing w:after="160" w:line="259" w:lineRule="auto"/>
        <w:rPr>
          <w:b/>
          <w:bCs/>
        </w:rPr>
      </w:pPr>
      <w:r>
        <w:rPr>
          <w:b/>
          <w:bCs/>
        </w:rPr>
        <w:br w:type="page"/>
      </w:r>
    </w:p>
    <w:p w14:paraId="690EA388" w14:textId="58873496" w:rsidR="00DA6934" w:rsidRPr="009C1DDF" w:rsidRDefault="00DA6934" w:rsidP="0073162A">
      <w:pPr>
        <w:pStyle w:val="Prrafodelista"/>
        <w:numPr>
          <w:ilvl w:val="0"/>
          <w:numId w:val="16"/>
        </w:numPr>
        <w:spacing w:after="0" w:line="240" w:lineRule="auto"/>
        <w:rPr>
          <w:b/>
          <w:bCs/>
        </w:rPr>
      </w:pPr>
      <w:r w:rsidRPr="009C1DDF">
        <w:rPr>
          <w:b/>
          <w:bCs/>
        </w:rPr>
        <w:lastRenderedPageBreak/>
        <w:t>Dinámica del mercado colombiano Q4</w:t>
      </w:r>
    </w:p>
    <w:p w14:paraId="71A49516" w14:textId="6A808660" w:rsidR="00DA6934" w:rsidRPr="00DA6934" w:rsidRDefault="009C1DDF" w:rsidP="00DA6934">
      <w:pPr>
        <w:autoSpaceDE w:val="0"/>
        <w:autoSpaceDN w:val="0"/>
        <w:adjustRightInd w:val="0"/>
        <w:spacing w:after="0" w:line="240" w:lineRule="auto"/>
        <w:jc w:val="both"/>
        <w:rPr>
          <w:rFonts w:cstheme="minorHAnsi"/>
        </w:rPr>
      </w:pPr>
      <w:r w:rsidRPr="00DA6934">
        <w:rPr>
          <w:rFonts w:cstheme="minorHAnsi"/>
          <w:noProof/>
        </w:rPr>
        <w:drawing>
          <wp:anchor distT="0" distB="0" distL="114300" distR="114300" simplePos="0" relativeHeight="251667456" behindDoc="0" locked="0" layoutInCell="1" allowOverlap="1" wp14:anchorId="73915DB6" wp14:editId="78BD4516">
            <wp:simplePos x="0" y="0"/>
            <wp:positionH relativeFrom="column">
              <wp:posOffset>-607365</wp:posOffset>
            </wp:positionH>
            <wp:positionV relativeFrom="paragraph">
              <wp:posOffset>172085</wp:posOffset>
            </wp:positionV>
            <wp:extent cx="6695440" cy="174053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r="5367"/>
                    <a:stretch>
                      <a:fillRect/>
                    </a:stretch>
                  </pic:blipFill>
                  <pic:spPr bwMode="auto">
                    <a:xfrm>
                      <a:off x="0" y="0"/>
                      <a:ext cx="6695440"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21A93" w14:textId="77777777" w:rsidR="00DA6934" w:rsidRPr="00DA6934" w:rsidRDefault="00DA6934" w:rsidP="00DA6934">
      <w:pPr>
        <w:autoSpaceDE w:val="0"/>
        <w:autoSpaceDN w:val="0"/>
        <w:adjustRightInd w:val="0"/>
        <w:spacing w:after="0" w:line="240" w:lineRule="auto"/>
        <w:rPr>
          <w:rFonts w:cstheme="minorHAnsi"/>
        </w:rPr>
      </w:pPr>
    </w:p>
    <w:p w14:paraId="23323CFD" w14:textId="3898B6AD" w:rsidR="00DA6934" w:rsidRPr="009C1DDF" w:rsidRDefault="00DA6934" w:rsidP="00DA6934">
      <w:pPr>
        <w:autoSpaceDE w:val="0"/>
        <w:autoSpaceDN w:val="0"/>
        <w:adjustRightInd w:val="0"/>
        <w:spacing w:after="0" w:line="240" w:lineRule="auto"/>
        <w:jc w:val="center"/>
        <w:rPr>
          <w:rFonts w:cstheme="minorHAnsi"/>
          <w:sz w:val="16"/>
          <w:szCs w:val="16"/>
        </w:rPr>
      </w:pPr>
      <w:r w:rsidRPr="009C1DDF">
        <w:rPr>
          <w:rFonts w:cstheme="minorHAnsi"/>
          <w:b/>
          <w:bCs/>
          <w:sz w:val="16"/>
          <w:szCs w:val="16"/>
        </w:rPr>
        <w:t>Fuente:</w:t>
      </w:r>
      <w:r w:rsidRPr="009C1DDF">
        <w:rPr>
          <w:rFonts w:cstheme="minorHAnsi"/>
          <w:sz w:val="16"/>
          <w:szCs w:val="16"/>
        </w:rPr>
        <w:t xml:space="preserve"> AON </w:t>
      </w:r>
      <w:proofErr w:type="spellStart"/>
      <w:r w:rsidRPr="009C1DDF">
        <w:rPr>
          <w:rFonts w:cstheme="minorHAnsi"/>
          <w:sz w:val="16"/>
          <w:szCs w:val="16"/>
        </w:rPr>
        <w:t>Risk</w:t>
      </w:r>
      <w:proofErr w:type="spellEnd"/>
      <w:r w:rsidRPr="009C1DDF">
        <w:rPr>
          <w:rFonts w:cstheme="minorHAnsi"/>
          <w:sz w:val="16"/>
          <w:szCs w:val="16"/>
        </w:rPr>
        <w:t xml:space="preserve"> </w:t>
      </w:r>
      <w:proofErr w:type="spellStart"/>
      <w:r w:rsidRPr="009C1DDF">
        <w:rPr>
          <w:rFonts w:cstheme="minorHAnsi"/>
          <w:sz w:val="16"/>
          <w:szCs w:val="16"/>
        </w:rPr>
        <w:t>Services</w:t>
      </w:r>
      <w:proofErr w:type="spellEnd"/>
      <w:r w:rsidRPr="009C1DDF">
        <w:rPr>
          <w:rFonts w:cstheme="minorHAnsi"/>
          <w:sz w:val="16"/>
          <w:szCs w:val="16"/>
        </w:rPr>
        <w:t xml:space="preserve"> Colombia S.A. Corredor de Seguros</w:t>
      </w:r>
      <w:r w:rsidR="00C842FA">
        <w:rPr>
          <w:rFonts w:cstheme="minorHAnsi"/>
          <w:sz w:val="16"/>
          <w:szCs w:val="16"/>
        </w:rPr>
        <w:t xml:space="preserve"> diciembre 2022</w:t>
      </w:r>
    </w:p>
    <w:p w14:paraId="07C23F98" w14:textId="77777777" w:rsidR="00DA6934" w:rsidRPr="00DA6934" w:rsidRDefault="00DA6934" w:rsidP="00DA6934">
      <w:pPr>
        <w:autoSpaceDE w:val="0"/>
        <w:autoSpaceDN w:val="0"/>
        <w:adjustRightInd w:val="0"/>
        <w:spacing w:after="0" w:line="240" w:lineRule="auto"/>
        <w:jc w:val="both"/>
        <w:rPr>
          <w:rFonts w:cstheme="minorHAnsi"/>
        </w:rPr>
      </w:pPr>
    </w:p>
    <w:p w14:paraId="420E59BA"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Automóvil</w:t>
      </w:r>
    </w:p>
    <w:p w14:paraId="3B94F9B1" w14:textId="77777777" w:rsidR="00DA6934" w:rsidRPr="00DA6934" w:rsidRDefault="00DA6934" w:rsidP="00DA6934">
      <w:pPr>
        <w:autoSpaceDE w:val="0"/>
        <w:autoSpaceDN w:val="0"/>
        <w:adjustRightInd w:val="0"/>
        <w:spacing w:after="0" w:line="240" w:lineRule="auto"/>
        <w:jc w:val="both"/>
        <w:rPr>
          <w:rFonts w:cstheme="minorHAnsi"/>
        </w:rPr>
      </w:pPr>
    </w:p>
    <w:p w14:paraId="5D3BD79C"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C000"/>
        </w:rPr>
        <w:t>(Moderado)</w:t>
      </w:r>
    </w:p>
    <w:p w14:paraId="5BCB737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Si bien las condiciones actuales del mercado son moderadas, el aumento precios de automóviles nuevos y costos de reparación de automóviles, así como un aumento de los robos de automóviles, están elevando los índices de siniestralidad. Como un resultado, un modesto aumento de tasas y suscripción surge el conservadurismo.</w:t>
      </w:r>
    </w:p>
    <w:p w14:paraId="271A2088" w14:textId="77777777" w:rsidR="00DA6934" w:rsidRPr="00DA6934" w:rsidRDefault="00DA6934" w:rsidP="00DA6934">
      <w:pPr>
        <w:autoSpaceDE w:val="0"/>
        <w:autoSpaceDN w:val="0"/>
        <w:adjustRightInd w:val="0"/>
        <w:spacing w:after="0" w:line="240" w:lineRule="auto"/>
        <w:ind w:left="708"/>
        <w:jc w:val="both"/>
        <w:rPr>
          <w:rFonts w:cstheme="minorHAnsi"/>
        </w:rPr>
      </w:pPr>
    </w:p>
    <w:p w14:paraId="305EDBFF" w14:textId="77777777" w:rsidR="00DA6934" w:rsidRPr="00DA6934" w:rsidRDefault="00DA6934" w:rsidP="00DA6934">
      <w:pPr>
        <w:autoSpaceDE w:val="0"/>
        <w:autoSpaceDN w:val="0"/>
        <w:adjustRightInd w:val="0"/>
        <w:spacing w:after="0" w:line="240" w:lineRule="auto"/>
        <w:ind w:left="708"/>
        <w:jc w:val="both"/>
        <w:rPr>
          <w:rFonts w:cstheme="minorHAnsi"/>
          <w:b/>
          <w:bCs/>
          <w:color w:val="FF99FF"/>
        </w:rPr>
      </w:pPr>
      <w:r w:rsidRPr="00DA6934">
        <w:rPr>
          <w:rFonts w:cstheme="minorHAnsi"/>
          <w:b/>
          <w:bCs/>
        </w:rPr>
        <w:t xml:space="preserve">Precios </w:t>
      </w:r>
      <w:r w:rsidRPr="00DA6934">
        <w:rPr>
          <w:rFonts w:cstheme="minorHAnsi"/>
          <w:b/>
          <w:bCs/>
          <w:color w:val="FFCCCC"/>
        </w:rPr>
        <w:t>(+1–10%)</w:t>
      </w:r>
    </w:p>
    <w:p w14:paraId="422A9044"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precios de las aseguradoras también dependen de la experiencia de la cartera como rendimiento de riesgo individual. Las herramientas de modelado de riesgos son más importantes que nunca negociar eficazmente con suscriptores para lograr precios favorables.</w:t>
      </w:r>
    </w:p>
    <w:p w14:paraId="75ED573E" w14:textId="77777777" w:rsidR="00DA6934" w:rsidRPr="00DA6934" w:rsidRDefault="00DA6934" w:rsidP="00DA6934">
      <w:pPr>
        <w:autoSpaceDE w:val="0"/>
        <w:autoSpaceDN w:val="0"/>
        <w:adjustRightInd w:val="0"/>
        <w:spacing w:after="0" w:line="240" w:lineRule="auto"/>
        <w:ind w:left="708"/>
        <w:jc w:val="both"/>
        <w:rPr>
          <w:rFonts w:cstheme="minorHAnsi"/>
        </w:rPr>
      </w:pPr>
    </w:p>
    <w:p w14:paraId="2D38DDD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b/>
          <w:bCs/>
        </w:rPr>
        <w:t xml:space="preserve">Capacidad </w:t>
      </w:r>
      <w:r w:rsidRPr="00DA6934">
        <w:rPr>
          <w:rFonts w:cstheme="minorHAnsi"/>
          <w:b/>
          <w:bCs/>
          <w:color w:val="00B050"/>
        </w:rPr>
        <w:t>(Abundante)</w:t>
      </w:r>
    </w:p>
    <w:p w14:paraId="79A40FF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capacidad es estable y abundante.</w:t>
      </w:r>
    </w:p>
    <w:p w14:paraId="26058F23" w14:textId="77777777" w:rsidR="00DA6934" w:rsidRPr="00DA6934" w:rsidRDefault="00DA6934" w:rsidP="00DA6934">
      <w:pPr>
        <w:autoSpaceDE w:val="0"/>
        <w:autoSpaceDN w:val="0"/>
        <w:adjustRightInd w:val="0"/>
        <w:spacing w:after="0" w:line="240" w:lineRule="auto"/>
        <w:ind w:left="708"/>
        <w:jc w:val="both"/>
        <w:rPr>
          <w:rFonts w:cstheme="minorHAnsi"/>
        </w:rPr>
      </w:pPr>
    </w:p>
    <w:p w14:paraId="3E50F6E0"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C000"/>
        </w:rPr>
        <w:t>(Prudente)</w:t>
      </w:r>
    </w:p>
    <w:p w14:paraId="431BBBF4"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suscriptores son generalmente cautelosos, sin embargo, hay cierta flexibilidad, especialmente para los riesgos de buen desempeño.</w:t>
      </w:r>
    </w:p>
    <w:p w14:paraId="1A064B8C" w14:textId="77777777" w:rsidR="00DA6934" w:rsidRPr="00DA6934" w:rsidRDefault="00DA6934" w:rsidP="00DA6934">
      <w:pPr>
        <w:autoSpaceDE w:val="0"/>
        <w:autoSpaceDN w:val="0"/>
        <w:adjustRightInd w:val="0"/>
        <w:spacing w:after="0" w:line="240" w:lineRule="auto"/>
        <w:ind w:left="708"/>
        <w:jc w:val="both"/>
        <w:rPr>
          <w:rFonts w:cstheme="minorHAnsi"/>
        </w:rPr>
      </w:pPr>
    </w:p>
    <w:p w14:paraId="7E8CED68"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7F7CADC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límites de vencimiento se pueden lograr en la mayoría de los casos.</w:t>
      </w:r>
    </w:p>
    <w:p w14:paraId="6D23CD5C" w14:textId="77777777" w:rsidR="00DA6934" w:rsidRPr="00DA6934" w:rsidRDefault="00DA6934" w:rsidP="00DA6934">
      <w:pPr>
        <w:autoSpaceDE w:val="0"/>
        <w:autoSpaceDN w:val="0"/>
        <w:adjustRightInd w:val="0"/>
        <w:spacing w:after="0" w:line="240" w:lineRule="auto"/>
        <w:ind w:left="708"/>
        <w:jc w:val="both"/>
        <w:rPr>
          <w:rFonts w:cstheme="minorHAnsi"/>
        </w:rPr>
      </w:pPr>
    </w:p>
    <w:p w14:paraId="118A3E6E"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7F89CD1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que vencen se pueden lograr en la mayoría de los casos.</w:t>
      </w:r>
    </w:p>
    <w:p w14:paraId="648EB27E" w14:textId="77777777" w:rsidR="00DA6934" w:rsidRPr="00DA6934" w:rsidRDefault="00DA6934" w:rsidP="00DA6934">
      <w:pPr>
        <w:autoSpaceDE w:val="0"/>
        <w:autoSpaceDN w:val="0"/>
        <w:adjustRightInd w:val="0"/>
        <w:spacing w:after="0" w:line="240" w:lineRule="auto"/>
        <w:ind w:left="708"/>
        <w:jc w:val="both"/>
        <w:rPr>
          <w:rFonts w:cstheme="minorHAnsi"/>
        </w:rPr>
      </w:pPr>
    </w:p>
    <w:p w14:paraId="51626769"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4726069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términos y condiciones que expiran se pueden lograr en mayoría de los casos. Un nuevo producto basado en el uso ha sido introdujo, ofreciendo coberturas tradicionales con un enfoque de precios alternativos.</w:t>
      </w:r>
    </w:p>
    <w:p w14:paraId="18D82B86" w14:textId="7EA768B0" w:rsidR="009C1DDF" w:rsidRDefault="009C1DDF">
      <w:pPr>
        <w:spacing w:after="160" w:line="259" w:lineRule="auto"/>
        <w:rPr>
          <w:rFonts w:cstheme="minorHAnsi"/>
        </w:rPr>
      </w:pPr>
      <w:r>
        <w:rPr>
          <w:rFonts w:cstheme="minorHAnsi"/>
        </w:rPr>
        <w:br w:type="page"/>
      </w:r>
    </w:p>
    <w:p w14:paraId="776815B4" w14:textId="77777777" w:rsidR="00DA6934" w:rsidRPr="00DA6934" w:rsidRDefault="00DA6934" w:rsidP="00DA6934">
      <w:pPr>
        <w:autoSpaceDE w:val="0"/>
        <w:autoSpaceDN w:val="0"/>
        <w:adjustRightInd w:val="0"/>
        <w:spacing w:after="0" w:line="240" w:lineRule="auto"/>
        <w:ind w:left="708"/>
        <w:jc w:val="both"/>
        <w:rPr>
          <w:rFonts w:cstheme="minorHAnsi"/>
        </w:rPr>
      </w:pPr>
    </w:p>
    <w:p w14:paraId="380A6489"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Proyección </w:t>
      </w:r>
      <w:r w:rsidRPr="00DA6934">
        <w:rPr>
          <w:rFonts w:cstheme="minorHAnsi"/>
          <w:b/>
          <w:bCs/>
          <w:color w:val="FFC000"/>
        </w:rPr>
        <w:t>(Moderada)</w:t>
      </w:r>
    </w:p>
    <w:p w14:paraId="01BF9FBC"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el mercado se vuelva un poco más desafiante a medida que las aseguradoras continúan respondiendo al aumento costos Innovación continua de los modelos de fijación de precios de las aseguradoras se espera.</w:t>
      </w:r>
    </w:p>
    <w:p w14:paraId="2F5F991C" w14:textId="77777777" w:rsidR="00DA6934" w:rsidRPr="00DA6934" w:rsidRDefault="00DA6934" w:rsidP="00DA6934">
      <w:pPr>
        <w:autoSpaceDE w:val="0"/>
        <w:autoSpaceDN w:val="0"/>
        <w:adjustRightInd w:val="0"/>
        <w:spacing w:after="0" w:line="240" w:lineRule="auto"/>
        <w:jc w:val="both"/>
        <w:rPr>
          <w:rFonts w:cstheme="minorHAnsi"/>
        </w:rPr>
      </w:pPr>
    </w:p>
    <w:p w14:paraId="0181884B" w14:textId="77777777" w:rsidR="00DA6934" w:rsidRPr="00DA6934" w:rsidRDefault="00DA6934" w:rsidP="00DA6934">
      <w:pPr>
        <w:autoSpaceDE w:val="0"/>
        <w:autoSpaceDN w:val="0"/>
        <w:adjustRightInd w:val="0"/>
        <w:spacing w:after="0" w:line="240" w:lineRule="auto"/>
        <w:jc w:val="both"/>
        <w:rPr>
          <w:rFonts w:cstheme="minorHAnsi"/>
        </w:rPr>
      </w:pPr>
    </w:p>
    <w:p w14:paraId="61564371"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Resumen de siniestros/responsabilidad</w:t>
      </w:r>
    </w:p>
    <w:p w14:paraId="4566279C" w14:textId="77777777" w:rsidR="00DA6934" w:rsidRPr="00DA6934" w:rsidRDefault="00DA6934" w:rsidP="00DA6934">
      <w:pPr>
        <w:autoSpaceDE w:val="0"/>
        <w:autoSpaceDN w:val="0"/>
        <w:adjustRightInd w:val="0"/>
        <w:spacing w:after="0" w:line="240" w:lineRule="auto"/>
        <w:jc w:val="both"/>
        <w:rPr>
          <w:rFonts w:cstheme="minorHAnsi"/>
        </w:rPr>
      </w:pPr>
    </w:p>
    <w:p w14:paraId="7B0A5D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57B751D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condiciones del mercado son desafiantes. Grandes pérdidas, la naturaleza de cola larga de las reclamaciones y precios no rentables en los últimos años ha provocado una contracción del apetito, especialmente para los tipos de riesgo peligrosos. varias aseguradoras se han retirado de este espacio, y los que siguen ofreciendo una capacidad limitada para riesgos grandes y complejos.</w:t>
      </w:r>
    </w:p>
    <w:p w14:paraId="2ECB8949" w14:textId="77777777" w:rsidR="00DA6934" w:rsidRPr="00DA6934" w:rsidRDefault="00DA6934" w:rsidP="00DA6934">
      <w:pPr>
        <w:autoSpaceDE w:val="0"/>
        <w:autoSpaceDN w:val="0"/>
        <w:adjustRightInd w:val="0"/>
        <w:spacing w:after="0" w:line="240" w:lineRule="auto"/>
        <w:ind w:left="708"/>
        <w:jc w:val="both"/>
        <w:rPr>
          <w:rFonts w:cstheme="minorHAnsi"/>
        </w:rPr>
      </w:pPr>
    </w:p>
    <w:p w14:paraId="515E89BD"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Además, la autoridad de suscripción ha hecho la transición lejos de los equipos locales, lo que requiere una mayor confianza en mercados internacionales / de reaseguros que tienden a ofrecer precios menos favorables.</w:t>
      </w:r>
    </w:p>
    <w:p w14:paraId="32D6F7CB"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7BED024E"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Precios </w:t>
      </w:r>
      <w:r w:rsidRPr="00DA6934">
        <w:rPr>
          <w:rFonts w:cstheme="minorHAnsi"/>
          <w:b/>
          <w:bCs/>
          <w:color w:val="FF99FF"/>
        </w:rPr>
        <w:t>(+11–30%)</w:t>
      </w:r>
    </w:p>
    <w:p w14:paraId="4E7E6930"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bajo rendimiento de la cartera y la capacidad limitada son lo que lleva a aumentos de la tasa de materiales.</w:t>
      </w:r>
    </w:p>
    <w:p w14:paraId="62964435"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39C38311"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1C87E68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cambio en la suscripción a equipos centrales, que son más conservadores en el despliegue de su capacidad – ha capacidad limitada para el mercado en general. solo un número limitado de aseguradoras tiene capacidad suficiente; otros apalancan reaseguro facultativo o solicitan autorización especial de los aseguradores centrales.</w:t>
      </w:r>
    </w:p>
    <w:p w14:paraId="24A3FAED"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1DE11D1"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7F5E4FD8"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602A1843"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mayor parte de la suscripción se ha desplazado a regional o global equipos de suscripción, que en sus precios y términos ofrecidos.</w:t>
      </w:r>
    </w:p>
    <w:p w14:paraId="49F1B9DA"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5973AF2B"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Límites </w:t>
      </w:r>
      <w:r w:rsidRPr="00DA6934">
        <w:rPr>
          <w:rFonts w:cstheme="minorHAnsi"/>
          <w:b/>
          <w:bCs/>
          <w:color w:val="FF0000"/>
        </w:rPr>
        <w:t>(Decrecientes)</w:t>
      </w:r>
    </w:p>
    <w:p w14:paraId="4613EFB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Algunos asegurados están explorando reducciones de límites como un mecanismo de compensación de aumentos de tarifas.</w:t>
      </w:r>
    </w:p>
    <w:p w14:paraId="05DF48CC"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61F8785F"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142ED28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que vencen a menudo se pueden lograr con pocos riesgos de frecuencia de reclamos mientras que de alta frecuencia / cola larga riesgos como la energía, la potencia y las instalaciones pueden experimentar mandatos de aumento deducible. Deducible los aumentos también se han vuelto comunes en la primaria colocaciones, ya que hay menos apetito de las aseguradoras.</w:t>
      </w:r>
    </w:p>
    <w:p w14:paraId="634FE5E7"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2B73C3FC" w14:textId="77777777" w:rsidR="009C1DDF" w:rsidRDefault="009C1DDF">
      <w:pPr>
        <w:spacing w:after="160" w:line="259" w:lineRule="auto"/>
        <w:rPr>
          <w:rFonts w:cstheme="minorHAnsi"/>
          <w:b/>
          <w:bCs/>
        </w:rPr>
      </w:pPr>
      <w:r>
        <w:rPr>
          <w:rFonts w:cstheme="minorHAnsi"/>
          <w:b/>
          <w:bCs/>
        </w:rPr>
        <w:br w:type="page"/>
      </w:r>
    </w:p>
    <w:p w14:paraId="0B33ACBB" w14:textId="6F159EA3"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lastRenderedPageBreak/>
        <w:t xml:space="preserve">Coberturas </w:t>
      </w:r>
      <w:r w:rsidRPr="00DA6934">
        <w:rPr>
          <w:rFonts w:cstheme="minorHAnsi"/>
          <w:b/>
          <w:bCs/>
          <w:color w:val="FF0000"/>
        </w:rPr>
        <w:t>(Restringidas)</w:t>
      </w:r>
    </w:p>
    <w:p w14:paraId="5876454B"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C4D3366"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Las exclusiones de COVID-19 y </w:t>
      </w:r>
      <w:proofErr w:type="spellStart"/>
      <w:r w:rsidRPr="00DA6934">
        <w:rPr>
          <w:rFonts w:cstheme="minorHAnsi"/>
        </w:rPr>
        <w:t>Silent</w:t>
      </w:r>
      <w:proofErr w:type="spellEnd"/>
      <w:r w:rsidRPr="00DA6934">
        <w:rPr>
          <w:rFonts w:cstheme="minorHAnsi"/>
        </w:rPr>
        <w:t xml:space="preserve"> </w:t>
      </w:r>
      <w:proofErr w:type="spellStart"/>
      <w:r w:rsidRPr="00DA6934">
        <w:rPr>
          <w:rFonts w:cstheme="minorHAnsi"/>
        </w:rPr>
        <w:t>Cyber</w:t>
      </w:r>
      <w:proofErr w:type="spellEnd"/>
      <w:r w:rsidRPr="00DA6934">
        <w:rPr>
          <w:rFonts w:cstheme="minorHAnsi"/>
        </w:rPr>
        <w:t xml:space="preserve"> continúan ser obligatorio. Además, las reaseguradoras se han convertido menos flexible para atender las solicitudes de incluir Cláusulas personalizadas que difieren de las tradicionales / </w:t>
      </w:r>
      <w:proofErr w:type="spellStart"/>
      <w:r w:rsidRPr="00DA6934">
        <w:rPr>
          <w:rFonts w:cstheme="minorHAnsi"/>
        </w:rPr>
        <w:t>Lloyds</w:t>
      </w:r>
      <w:proofErr w:type="spellEnd"/>
      <w:r w:rsidRPr="00DA6934">
        <w:rPr>
          <w:rFonts w:cstheme="minorHAnsi"/>
        </w:rPr>
        <w:t xml:space="preserve"> formularios aceptados.</w:t>
      </w:r>
    </w:p>
    <w:p w14:paraId="48B9B223"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16F3B9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1F2582A6"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A corto plazo, las condiciones actuales del mercado son se espera que continúe. Se espera que las aseguradoras se concentren en la rentabilidad al tiempo que impone aumentos de tarifas significativos y el despliegue de la capacidad de forma limitada. Completo, una sólida información de suscripción seguirá siendo fundamental para asegurando respuestas favorables de las aseguradoras.</w:t>
      </w:r>
    </w:p>
    <w:p w14:paraId="7D11EB60"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337FB03F" w14:textId="77777777" w:rsidR="00DA6934" w:rsidRPr="00DA6934" w:rsidRDefault="00DA6934" w:rsidP="00DA6934">
      <w:pPr>
        <w:autoSpaceDE w:val="0"/>
        <w:autoSpaceDN w:val="0"/>
        <w:adjustRightInd w:val="0"/>
        <w:spacing w:after="0" w:line="240" w:lineRule="auto"/>
        <w:ind w:firstLine="708"/>
        <w:jc w:val="both"/>
        <w:rPr>
          <w:rFonts w:cstheme="minorHAnsi"/>
        </w:rPr>
      </w:pPr>
    </w:p>
    <w:p w14:paraId="449929CB"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Cibernética</w:t>
      </w:r>
    </w:p>
    <w:p w14:paraId="42E52078" w14:textId="77777777" w:rsidR="00DA6934" w:rsidRPr="00DA6934" w:rsidRDefault="00DA6934" w:rsidP="00DA6934">
      <w:pPr>
        <w:autoSpaceDE w:val="0"/>
        <w:autoSpaceDN w:val="0"/>
        <w:adjustRightInd w:val="0"/>
        <w:spacing w:after="0" w:line="240" w:lineRule="auto"/>
        <w:ind w:left="708"/>
        <w:jc w:val="both"/>
        <w:rPr>
          <w:rFonts w:cstheme="minorHAnsi"/>
        </w:rPr>
      </w:pPr>
    </w:p>
    <w:p w14:paraId="6B1B7F9F"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18FBE369"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El mercado de seguros cibernéticos es desafiante como tarifas continúan subiendo bruscamente, la capacidad continúa aumentando contrato, y el riesgo de </w:t>
      </w:r>
      <w:proofErr w:type="spellStart"/>
      <w:r w:rsidRPr="00DA6934">
        <w:rPr>
          <w:rFonts w:cstheme="minorHAnsi"/>
        </w:rPr>
        <w:t>ransomware</w:t>
      </w:r>
      <w:proofErr w:type="spellEnd"/>
      <w:r w:rsidRPr="00DA6934">
        <w:rPr>
          <w:rFonts w:cstheme="minorHAnsi"/>
        </w:rPr>
        <w:t xml:space="preserve"> crece hasta convertirse uno de los temas más volátiles e importantes en toda sociedad. El número de organizaciones que buscan cobertura continúa creciendo.</w:t>
      </w:r>
    </w:p>
    <w:p w14:paraId="124FF54F" w14:textId="77777777" w:rsidR="00DA6934" w:rsidRPr="00DA6934" w:rsidRDefault="00DA6934" w:rsidP="00DA6934">
      <w:pPr>
        <w:autoSpaceDE w:val="0"/>
        <w:autoSpaceDN w:val="0"/>
        <w:adjustRightInd w:val="0"/>
        <w:spacing w:after="0" w:line="240" w:lineRule="auto"/>
        <w:ind w:left="708"/>
        <w:jc w:val="both"/>
        <w:rPr>
          <w:rFonts w:cstheme="minorHAnsi"/>
        </w:rPr>
      </w:pPr>
    </w:p>
    <w:p w14:paraId="20829A1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Precios </w:t>
      </w:r>
      <w:r w:rsidRPr="00DA6934">
        <w:rPr>
          <w:rFonts w:cstheme="minorHAnsi"/>
          <w:b/>
          <w:bCs/>
          <w:color w:val="FF0000"/>
        </w:rPr>
        <w:t>(&gt;+30%)</w:t>
      </w:r>
    </w:p>
    <w:p w14:paraId="4D5E1548"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precios han subido significativamente, especialmente para riesgos complejos en la energía, instituciones financieras, Fintech, servicios públicos, sectores de la tecnología, la educación y la salud. Controles y seguridad son primordiales para lograr el más favorable precio posible.</w:t>
      </w:r>
    </w:p>
    <w:p w14:paraId="2D635C73" w14:textId="77777777" w:rsidR="00DA6934" w:rsidRPr="00DA6934" w:rsidRDefault="00DA6934" w:rsidP="00DA6934">
      <w:pPr>
        <w:autoSpaceDE w:val="0"/>
        <w:autoSpaceDN w:val="0"/>
        <w:adjustRightInd w:val="0"/>
        <w:spacing w:after="0" w:line="240" w:lineRule="auto"/>
        <w:ind w:left="708"/>
        <w:jc w:val="both"/>
        <w:rPr>
          <w:rFonts w:cstheme="minorHAnsi"/>
        </w:rPr>
      </w:pPr>
    </w:p>
    <w:p w14:paraId="57DE73D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0C0E73D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 capacidad está restringida y la capacidad por riesgo continúa contratar. Hay un número limitado de aseguradoras locales. en este espacio y algunos tienen poco apetito (por ejemplo, pequeños sólo riesgos). La capacidad adicional está disponible a través del mercado de reaseguros si es necesario. Algunas aseguradoras, principalmente preocupados por el riesgo de </w:t>
      </w:r>
      <w:proofErr w:type="spellStart"/>
      <w:r w:rsidRPr="00DA6934">
        <w:rPr>
          <w:rFonts w:cstheme="minorHAnsi"/>
        </w:rPr>
        <w:t>ransomware</w:t>
      </w:r>
      <w:proofErr w:type="spellEnd"/>
      <w:r w:rsidRPr="00DA6934">
        <w:rPr>
          <w:rFonts w:cstheme="minorHAnsi"/>
        </w:rPr>
        <w:t>, insisten en arreglos de coaseguro.</w:t>
      </w:r>
    </w:p>
    <w:p w14:paraId="217FDC0C" w14:textId="77777777" w:rsidR="00DA6934" w:rsidRPr="00DA6934" w:rsidRDefault="00DA6934" w:rsidP="00DA6934">
      <w:pPr>
        <w:autoSpaceDE w:val="0"/>
        <w:autoSpaceDN w:val="0"/>
        <w:adjustRightInd w:val="0"/>
        <w:spacing w:after="0" w:line="240" w:lineRule="auto"/>
        <w:ind w:left="708"/>
        <w:jc w:val="both"/>
        <w:rPr>
          <w:rFonts w:cstheme="minorHAnsi"/>
        </w:rPr>
      </w:pPr>
    </w:p>
    <w:p w14:paraId="41298E6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7247E6C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requisitos de suscripción son extensos; hecho suplementario se requieren cuestionarios para iniciar la suscripción proceso y en algunos casos, las aseguradoras están realizando evaluaciones remotas antes de considerar suscribir un riesgo. Los controles de riesgo adecuados son fundamentales. la suscripción El proceso lleva mucho tiempo y un comienzo temprano producirá los mejores resultados.</w:t>
      </w:r>
    </w:p>
    <w:p w14:paraId="4B6DE57E" w14:textId="77777777" w:rsidR="00DA6934" w:rsidRPr="00DA6934" w:rsidRDefault="00DA6934" w:rsidP="00DA6934">
      <w:pPr>
        <w:autoSpaceDE w:val="0"/>
        <w:autoSpaceDN w:val="0"/>
        <w:adjustRightInd w:val="0"/>
        <w:spacing w:after="0" w:line="240" w:lineRule="auto"/>
        <w:ind w:left="708"/>
        <w:jc w:val="both"/>
        <w:rPr>
          <w:rFonts w:cstheme="minorHAnsi"/>
        </w:rPr>
      </w:pPr>
    </w:p>
    <w:p w14:paraId="5209F46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62F2074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Se ha vuelto cada vez más difícil asegurar el vencimiento límites a precios aceptables. Cuando los límites de vencimiento son comprados, las capas adicionales y los aseguradores son generalmente necesarios para completar la colocación. Negocio Interrupción, extorsión cibernética y gestión de crisis las coberturas a menudo son </w:t>
      </w:r>
      <w:proofErr w:type="spellStart"/>
      <w:r w:rsidRPr="00DA6934">
        <w:rPr>
          <w:rFonts w:cstheme="minorHAnsi"/>
        </w:rPr>
        <w:t>sublimitadas</w:t>
      </w:r>
      <w:proofErr w:type="spellEnd"/>
      <w:r w:rsidRPr="00DA6934">
        <w:rPr>
          <w:rFonts w:cstheme="minorHAnsi"/>
        </w:rPr>
        <w:t>.</w:t>
      </w:r>
    </w:p>
    <w:p w14:paraId="7A0D41C5" w14:textId="77777777" w:rsidR="00DA6934" w:rsidRPr="00DA6934" w:rsidRDefault="00DA6934" w:rsidP="00DA6934">
      <w:pPr>
        <w:autoSpaceDE w:val="0"/>
        <w:autoSpaceDN w:val="0"/>
        <w:adjustRightInd w:val="0"/>
        <w:spacing w:after="0" w:line="240" w:lineRule="auto"/>
        <w:ind w:left="708"/>
        <w:jc w:val="both"/>
        <w:rPr>
          <w:rFonts w:cstheme="minorHAnsi"/>
        </w:rPr>
      </w:pPr>
    </w:p>
    <w:p w14:paraId="69A117C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0000"/>
        </w:rPr>
        <w:t>(Creciente)</w:t>
      </w:r>
    </w:p>
    <w:p w14:paraId="6419243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La interrupción del negocio y el </w:t>
      </w:r>
      <w:proofErr w:type="spellStart"/>
      <w:r w:rsidRPr="00DA6934">
        <w:rPr>
          <w:rFonts w:cstheme="minorHAnsi"/>
        </w:rPr>
        <w:t>ransomware</w:t>
      </w:r>
      <w:proofErr w:type="spellEnd"/>
      <w:r w:rsidRPr="00DA6934">
        <w:rPr>
          <w:rFonts w:cstheme="minorHAnsi"/>
        </w:rPr>
        <w:t xml:space="preserve"> están experimentando aumentos del deducible, incluido el coaseguro de hasta el 50%. Otras coberturas, como gastos de reputación, notificación, vigilancia, y los gastos de defensa a menudo no son sujeto a un deducible.</w:t>
      </w:r>
    </w:p>
    <w:p w14:paraId="33907CA0" w14:textId="77777777" w:rsidR="00DA6934" w:rsidRPr="00DA6934" w:rsidRDefault="00DA6934" w:rsidP="00DA6934">
      <w:pPr>
        <w:autoSpaceDE w:val="0"/>
        <w:autoSpaceDN w:val="0"/>
        <w:adjustRightInd w:val="0"/>
        <w:spacing w:after="0" w:line="240" w:lineRule="auto"/>
        <w:ind w:left="708"/>
        <w:jc w:val="both"/>
        <w:rPr>
          <w:rFonts w:cstheme="minorHAnsi"/>
        </w:rPr>
      </w:pPr>
    </w:p>
    <w:p w14:paraId="4909C3A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16A3494A" w14:textId="77777777" w:rsidR="00DA6934" w:rsidRPr="00DA6934" w:rsidRDefault="00DA6934" w:rsidP="00DA6934">
      <w:pPr>
        <w:autoSpaceDE w:val="0"/>
        <w:autoSpaceDN w:val="0"/>
        <w:adjustRightInd w:val="0"/>
        <w:spacing w:after="0" w:line="240" w:lineRule="auto"/>
        <w:ind w:left="708"/>
        <w:jc w:val="both"/>
        <w:rPr>
          <w:rFonts w:cstheme="minorHAnsi"/>
        </w:rPr>
      </w:pPr>
      <w:proofErr w:type="spellStart"/>
      <w:r w:rsidRPr="00DA6934">
        <w:rPr>
          <w:rFonts w:cstheme="minorHAnsi"/>
        </w:rPr>
        <w:t>Ransomware</w:t>
      </w:r>
      <w:proofErr w:type="spellEnd"/>
      <w:r w:rsidRPr="00DA6934">
        <w:rPr>
          <w:rFonts w:cstheme="minorHAnsi"/>
        </w:rPr>
        <w:t xml:space="preserve"> y </w:t>
      </w:r>
      <w:proofErr w:type="spellStart"/>
      <w:r w:rsidRPr="00DA6934">
        <w:rPr>
          <w:rFonts w:cstheme="minorHAnsi"/>
        </w:rPr>
        <w:t>Cyber</w:t>
      </w:r>
      <w:proofErr w:type="spellEnd"/>
      <w:r w:rsidRPr="00DA6934">
        <w:rPr>
          <w:rFonts w:cstheme="minorHAnsi"/>
        </w:rPr>
        <w:t xml:space="preserve"> </w:t>
      </w:r>
      <w:proofErr w:type="spellStart"/>
      <w:r w:rsidRPr="00DA6934">
        <w:rPr>
          <w:rFonts w:cstheme="minorHAnsi"/>
        </w:rPr>
        <w:t>Extortion</w:t>
      </w:r>
      <w:proofErr w:type="spellEnd"/>
      <w:r w:rsidRPr="00DA6934">
        <w:rPr>
          <w:rFonts w:cstheme="minorHAnsi"/>
        </w:rPr>
        <w:t xml:space="preserve"> están siendo excluidos o severamente limitada por algunas aseguradoras.</w:t>
      </w:r>
    </w:p>
    <w:p w14:paraId="113F6624" w14:textId="77777777" w:rsidR="00DA6934" w:rsidRPr="00DA6934" w:rsidRDefault="00DA6934" w:rsidP="00DA6934">
      <w:pPr>
        <w:autoSpaceDE w:val="0"/>
        <w:autoSpaceDN w:val="0"/>
        <w:adjustRightInd w:val="0"/>
        <w:spacing w:after="0" w:line="240" w:lineRule="auto"/>
        <w:ind w:left="708"/>
        <w:jc w:val="both"/>
        <w:rPr>
          <w:rFonts w:cstheme="minorHAnsi"/>
        </w:rPr>
      </w:pPr>
    </w:p>
    <w:p w14:paraId="483E26C7"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136286DF"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las condiciones actuales del mercado continuar, y tal vez volverse aún más desafiante, ya que las amenazas y los ataques cibernéticos continúan. Se espera que las aseguradoras refinen aún más su apetito y despliegue de capacidad e imponer coaseguro a limitar su exposición. Ciber controles y madurez del riesgo será cada vez más importante.</w:t>
      </w:r>
    </w:p>
    <w:p w14:paraId="45DCE60A" w14:textId="77777777" w:rsidR="00DA6934" w:rsidRPr="00DA6934" w:rsidRDefault="00DA6934" w:rsidP="00DA6934">
      <w:pPr>
        <w:autoSpaceDE w:val="0"/>
        <w:autoSpaceDN w:val="0"/>
        <w:adjustRightInd w:val="0"/>
        <w:spacing w:after="0" w:line="240" w:lineRule="auto"/>
        <w:jc w:val="both"/>
        <w:rPr>
          <w:rFonts w:cstheme="minorHAnsi"/>
        </w:rPr>
      </w:pPr>
    </w:p>
    <w:p w14:paraId="4671DCFB" w14:textId="77777777" w:rsidR="00DA6934" w:rsidRPr="00DA6934" w:rsidRDefault="00DA6934" w:rsidP="00DA6934">
      <w:pPr>
        <w:autoSpaceDE w:val="0"/>
        <w:autoSpaceDN w:val="0"/>
        <w:adjustRightInd w:val="0"/>
        <w:spacing w:after="0" w:line="240" w:lineRule="auto"/>
        <w:jc w:val="both"/>
        <w:rPr>
          <w:rFonts w:cstheme="minorHAnsi"/>
        </w:rPr>
      </w:pPr>
    </w:p>
    <w:p w14:paraId="193770BD"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Directores y Oficiales</w:t>
      </w:r>
    </w:p>
    <w:p w14:paraId="7EECB72E" w14:textId="77777777" w:rsidR="00DA6934" w:rsidRPr="00DA6934" w:rsidRDefault="00DA6934" w:rsidP="00DA6934">
      <w:pPr>
        <w:autoSpaceDE w:val="0"/>
        <w:autoSpaceDN w:val="0"/>
        <w:adjustRightInd w:val="0"/>
        <w:spacing w:after="0" w:line="240" w:lineRule="auto"/>
        <w:jc w:val="both"/>
        <w:rPr>
          <w:rFonts w:cstheme="minorHAnsi"/>
        </w:rPr>
      </w:pPr>
    </w:p>
    <w:p w14:paraId="5A3C6C93"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5B1E2FD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regulador local, Contraloría, ha modificado la interpretación de los requisitos de notificación de reclamaciones y reglamentaciones implementadas que requieren que las aseguradoras cubran riesgos no previstos en sus formas de cobertura. Esto tiene devastó el mercado local y muchas aseguradoras han retirado de cualquier riesgo que pudiera tener la exposición a Reglamento de contraloría.</w:t>
      </w:r>
    </w:p>
    <w:p w14:paraId="301D8520" w14:textId="77777777" w:rsidR="00DA6934" w:rsidRPr="00DA6934" w:rsidRDefault="00DA6934" w:rsidP="00DA6934">
      <w:pPr>
        <w:autoSpaceDE w:val="0"/>
        <w:autoSpaceDN w:val="0"/>
        <w:adjustRightInd w:val="0"/>
        <w:spacing w:after="0" w:line="240" w:lineRule="auto"/>
        <w:ind w:left="708"/>
        <w:jc w:val="both"/>
        <w:rPr>
          <w:rFonts w:cstheme="minorHAnsi"/>
        </w:rPr>
      </w:pPr>
    </w:p>
    <w:p w14:paraId="7788DD6F"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Precios </w:t>
      </w:r>
      <w:r w:rsidRPr="00DA6934">
        <w:rPr>
          <w:rFonts w:cstheme="minorHAnsi"/>
          <w:b/>
          <w:bCs/>
          <w:color w:val="FF0000"/>
        </w:rPr>
        <w:t>(&gt;+30%)</w:t>
      </w:r>
    </w:p>
    <w:p w14:paraId="58A3F019"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empresas sin exposición a Contraloría pueden experimente aumentos materiales, pero no severos, en las tasas, mientras que los de sectores como las instituciones financieras, gobierno, construcción y petróleo y gas, son experimentando fuertes aumentos de tarifas.</w:t>
      </w:r>
    </w:p>
    <w:p w14:paraId="243EC3D4" w14:textId="77777777" w:rsidR="00DA6934" w:rsidRPr="00DA6934" w:rsidRDefault="00DA6934" w:rsidP="00DA6934">
      <w:pPr>
        <w:autoSpaceDE w:val="0"/>
        <w:autoSpaceDN w:val="0"/>
        <w:adjustRightInd w:val="0"/>
        <w:spacing w:after="0" w:line="240" w:lineRule="auto"/>
        <w:ind w:left="708"/>
        <w:jc w:val="both"/>
        <w:rPr>
          <w:rFonts w:cstheme="minorHAnsi"/>
        </w:rPr>
      </w:pPr>
    </w:p>
    <w:p w14:paraId="16EB603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0000"/>
        </w:rPr>
        <w:t>(Restringida)</w:t>
      </w:r>
    </w:p>
    <w:p w14:paraId="5ED6699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Tras el fallo de la Contraloría, los colocadores locales han limitado su capacidad en todos los ámbitos; sin embargo, las reaseguradoras permanecen disponibles para aumentar la capacidad local según sea necesario.</w:t>
      </w:r>
    </w:p>
    <w:p w14:paraId="629E3A6B" w14:textId="77777777" w:rsidR="00DA6934" w:rsidRPr="00DA6934" w:rsidRDefault="00DA6934" w:rsidP="00DA6934">
      <w:pPr>
        <w:autoSpaceDE w:val="0"/>
        <w:autoSpaceDN w:val="0"/>
        <w:adjustRightInd w:val="0"/>
        <w:spacing w:after="0" w:line="240" w:lineRule="auto"/>
        <w:ind w:left="708"/>
        <w:jc w:val="both"/>
        <w:rPr>
          <w:rFonts w:cstheme="minorHAnsi"/>
        </w:rPr>
      </w:pPr>
    </w:p>
    <w:p w14:paraId="6B341647"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484781DA"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rigor de la suscripción se ha intensificado a medida que los suscriptores buscan para determinar la exposición de Contraloría. Reclamos extensos se solicitan detalles, incluidos los relacionados con litigios en curso, como estudios de probabilidad.</w:t>
      </w:r>
    </w:p>
    <w:p w14:paraId="7A4D5CF0" w14:textId="77777777" w:rsidR="00DA6934" w:rsidRPr="00DA6934" w:rsidRDefault="00DA6934" w:rsidP="00DA6934">
      <w:pPr>
        <w:autoSpaceDE w:val="0"/>
        <w:autoSpaceDN w:val="0"/>
        <w:adjustRightInd w:val="0"/>
        <w:spacing w:after="0" w:line="240" w:lineRule="auto"/>
        <w:ind w:left="708"/>
        <w:jc w:val="both"/>
        <w:rPr>
          <w:rFonts w:cstheme="minorHAnsi"/>
        </w:rPr>
      </w:pPr>
    </w:p>
    <w:p w14:paraId="04F34DBD"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04FA0A8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Los límites privados de D&amp;O se mantienen estables a pesar de los aumentos de tarifas; sin embargo, las empresas que se enfrentan al riesgo regulatorio de Las contralorías están experimentando reducciones de límites debido a falta de capacidad del </w:t>
      </w:r>
      <w:r w:rsidRPr="00DA6934">
        <w:rPr>
          <w:rFonts w:cstheme="minorHAnsi"/>
        </w:rPr>
        <w:lastRenderedPageBreak/>
        <w:t>asegurador o de su propia elección, como un mecanismo para ayudar a compensar los aumentos de primas.</w:t>
      </w:r>
    </w:p>
    <w:p w14:paraId="07729FBC" w14:textId="77777777" w:rsidR="00DA6934" w:rsidRPr="00DA6934" w:rsidRDefault="00DA6934" w:rsidP="00DA6934">
      <w:pPr>
        <w:autoSpaceDE w:val="0"/>
        <w:autoSpaceDN w:val="0"/>
        <w:adjustRightInd w:val="0"/>
        <w:spacing w:after="0" w:line="240" w:lineRule="auto"/>
        <w:ind w:left="708"/>
        <w:jc w:val="both"/>
        <w:rPr>
          <w:rFonts w:cstheme="minorHAnsi"/>
        </w:rPr>
      </w:pPr>
    </w:p>
    <w:p w14:paraId="536695BC"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C000"/>
        </w:rPr>
        <w:t>(Prudente)</w:t>
      </w:r>
    </w:p>
    <w:p w14:paraId="218B2E1B"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deducibles del lado C para riesgos con exposición a EE. UU. Son aumentando bruscamente.</w:t>
      </w:r>
    </w:p>
    <w:p w14:paraId="73748F5B" w14:textId="77777777" w:rsidR="00DA6934" w:rsidRPr="00DA6934" w:rsidRDefault="00DA6934" w:rsidP="00DA6934">
      <w:pPr>
        <w:autoSpaceDE w:val="0"/>
        <w:autoSpaceDN w:val="0"/>
        <w:adjustRightInd w:val="0"/>
        <w:spacing w:after="0" w:line="240" w:lineRule="auto"/>
        <w:ind w:left="708"/>
        <w:jc w:val="both"/>
        <w:rPr>
          <w:rFonts w:cstheme="minorHAnsi"/>
        </w:rPr>
      </w:pPr>
    </w:p>
    <w:p w14:paraId="59AC962F"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4D0A7A4A"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26025455"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Tras las aclaraciones de cobertura ocurridas durante los ciclos de renovación recientes, las coberturas han generalmente estabilizado.</w:t>
      </w:r>
    </w:p>
    <w:p w14:paraId="426A067D" w14:textId="77777777" w:rsidR="00DA6934" w:rsidRPr="00DA6934" w:rsidRDefault="00DA6934" w:rsidP="00DA6934">
      <w:pPr>
        <w:autoSpaceDE w:val="0"/>
        <w:autoSpaceDN w:val="0"/>
        <w:adjustRightInd w:val="0"/>
        <w:spacing w:after="0" w:line="240" w:lineRule="auto"/>
        <w:ind w:left="708"/>
        <w:jc w:val="both"/>
        <w:rPr>
          <w:rFonts w:cstheme="minorHAnsi"/>
        </w:rPr>
      </w:pPr>
    </w:p>
    <w:p w14:paraId="7887B96E"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09E1B0DE"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 xml:space="preserve">El fallo de la Contraloría sentó un precedente dramático que ha suscitado dudas entre las aseguradoras sobre ley de seguros Las reclamaciones pagadas en los últimos meses pueden tardan años en ser absorbidos por las aseguradoras </w:t>
      </w:r>
      <w:proofErr w:type="gramStart"/>
      <w:r w:rsidRPr="00DA6934">
        <w:rPr>
          <w:rFonts w:cstheme="minorHAnsi"/>
        </w:rPr>
        <w:t>y</w:t>
      </w:r>
      <w:proofErr w:type="gramEnd"/>
      <w:r w:rsidRPr="00DA6934">
        <w:rPr>
          <w:rFonts w:cstheme="minorHAnsi"/>
        </w:rPr>
        <w:t xml:space="preserve"> por tanto, podría seguir afectando la capacidad y los precios.</w:t>
      </w:r>
    </w:p>
    <w:p w14:paraId="324AEA86" w14:textId="77777777" w:rsidR="00DA6934" w:rsidRPr="00DA6934" w:rsidRDefault="00DA6934" w:rsidP="00DA6934">
      <w:pPr>
        <w:autoSpaceDE w:val="0"/>
        <w:autoSpaceDN w:val="0"/>
        <w:adjustRightInd w:val="0"/>
        <w:spacing w:after="0" w:line="240" w:lineRule="auto"/>
        <w:ind w:left="708"/>
        <w:jc w:val="both"/>
        <w:rPr>
          <w:rFonts w:cstheme="minorHAnsi"/>
        </w:rPr>
      </w:pPr>
    </w:p>
    <w:p w14:paraId="7F13E128" w14:textId="77777777" w:rsidR="00DA6934" w:rsidRPr="00DA6934" w:rsidRDefault="00DA6934" w:rsidP="00DA6934">
      <w:pPr>
        <w:autoSpaceDE w:val="0"/>
        <w:autoSpaceDN w:val="0"/>
        <w:adjustRightInd w:val="0"/>
        <w:spacing w:after="0" w:line="240" w:lineRule="auto"/>
        <w:ind w:left="708"/>
        <w:jc w:val="both"/>
        <w:rPr>
          <w:rFonts w:cstheme="minorHAnsi"/>
        </w:rPr>
      </w:pPr>
    </w:p>
    <w:p w14:paraId="38B1AA80" w14:textId="77777777"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Propiedad</w:t>
      </w:r>
    </w:p>
    <w:p w14:paraId="12E6CACB" w14:textId="77777777" w:rsidR="00DA6934" w:rsidRPr="00DA6934" w:rsidRDefault="00DA6934" w:rsidP="00DA6934">
      <w:pPr>
        <w:autoSpaceDE w:val="0"/>
        <w:autoSpaceDN w:val="0"/>
        <w:adjustRightInd w:val="0"/>
        <w:spacing w:after="0" w:line="240" w:lineRule="auto"/>
        <w:ind w:left="708"/>
        <w:jc w:val="both"/>
        <w:rPr>
          <w:rFonts w:cstheme="minorHAnsi"/>
        </w:rPr>
      </w:pPr>
    </w:p>
    <w:p w14:paraId="3AFE7C8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Condiciones Generales </w:t>
      </w:r>
      <w:r w:rsidRPr="00DA6934">
        <w:rPr>
          <w:rFonts w:cstheme="minorHAnsi"/>
          <w:b/>
          <w:bCs/>
          <w:color w:val="FF0000"/>
        </w:rPr>
        <w:t>(Desafiante)</w:t>
      </w:r>
    </w:p>
    <w:p w14:paraId="4FFB218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El mercado sigue siendo desafiante ya que las aseguradoras se enfocan en volviendo a la rentabilidad. Los asegurados están experimentando incrementos significativos de precios, capacidad limitada y entorno de suscripción estricto y riguroso.</w:t>
      </w:r>
    </w:p>
    <w:p w14:paraId="70420883" w14:textId="77777777" w:rsidR="00DA6934" w:rsidRPr="00DA6934" w:rsidRDefault="00DA6934" w:rsidP="00DA6934">
      <w:pPr>
        <w:autoSpaceDE w:val="0"/>
        <w:autoSpaceDN w:val="0"/>
        <w:adjustRightInd w:val="0"/>
        <w:spacing w:after="0" w:line="240" w:lineRule="auto"/>
        <w:ind w:left="708"/>
        <w:jc w:val="both"/>
        <w:rPr>
          <w:rFonts w:cstheme="minorHAnsi"/>
        </w:rPr>
      </w:pPr>
    </w:p>
    <w:p w14:paraId="304D8CF1" w14:textId="77777777" w:rsidR="00DA6934" w:rsidRPr="00DA6934" w:rsidRDefault="00DA6934" w:rsidP="00DA6934">
      <w:pPr>
        <w:autoSpaceDE w:val="0"/>
        <w:autoSpaceDN w:val="0"/>
        <w:adjustRightInd w:val="0"/>
        <w:spacing w:after="0" w:line="240" w:lineRule="auto"/>
        <w:ind w:left="708"/>
        <w:jc w:val="both"/>
        <w:rPr>
          <w:rFonts w:cstheme="minorHAnsi"/>
          <w:b/>
          <w:bCs/>
          <w:color w:val="FF99FF"/>
        </w:rPr>
      </w:pPr>
      <w:r w:rsidRPr="00DA6934">
        <w:rPr>
          <w:rFonts w:cstheme="minorHAnsi"/>
          <w:b/>
          <w:bCs/>
        </w:rPr>
        <w:t xml:space="preserve">Precios </w:t>
      </w:r>
      <w:r w:rsidRPr="00DA6934">
        <w:rPr>
          <w:rFonts w:cstheme="minorHAnsi"/>
          <w:b/>
          <w:bCs/>
          <w:color w:val="FF99FF"/>
        </w:rPr>
        <w:t>(+11–30%)</w:t>
      </w:r>
    </w:p>
    <w:p w14:paraId="2A24BD10"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ajustes de precios continúan mientras las aseguradoras se enfocan en rentabilidad. La cobertura de sabotaje y terrorismo es experimentando aumentos de precios muy significativos.</w:t>
      </w:r>
    </w:p>
    <w:p w14:paraId="5E75DB8A" w14:textId="77777777" w:rsidR="00DA6934" w:rsidRPr="00DA6934" w:rsidRDefault="00DA6934" w:rsidP="00DA6934">
      <w:pPr>
        <w:autoSpaceDE w:val="0"/>
        <w:autoSpaceDN w:val="0"/>
        <w:adjustRightInd w:val="0"/>
        <w:spacing w:after="0" w:line="240" w:lineRule="auto"/>
        <w:ind w:left="708"/>
        <w:jc w:val="both"/>
        <w:rPr>
          <w:rFonts w:cstheme="minorHAnsi"/>
        </w:rPr>
      </w:pPr>
    </w:p>
    <w:p w14:paraId="6A7416F8"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Capacidad </w:t>
      </w:r>
      <w:r w:rsidRPr="00DA6934">
        <w:rPr>
          <w:rFonts w:cstheme="minorHAnsi"/>
          <w:b/>
          <w:bCs/>
          <w:color w:val="FFC000"/>
        </w:rPr>
        <w:t>(Amplia)</w:t>
      </w:r>
    </w:p>
    <w:p w14:paraId="02A22022"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 capacidad local está disponible y es suficiente para la mayoría riesgos; sin embargo, los productos químicos, los plásticos y los textiles son experimentar limitaciones de capacidad.</w:t>
      </w:r>
    </w:p>
    <w:p w14:paraId="20B76B61" w14:textId="77777777" w:rsidR="00DA6934" w:rsidRPr="00DA6934" w:rsidRDefault="00DA6934" w:rsidP="00DA6934">
      <w:pPr>
        <w:autoSpaceDE w:val="0"/>
        <w:autoSpaceDN w:val="0"/>
        <w:adjustRightInd w:val="0"/>
        <w:spacing w:after="0" w:line="240" w:lineRule="auto"/>
        <w:ind w:left="708"/>
        <w:jc w:val="both"/>
        <w:rPr>
          <w:rFonts w:cstheme="minorHAnsi"/>
        </w:rPr>
      </w:pPr>
    </w:p>
    <w:p w14:paraId="379F3677"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71F955FC" w14:textId="77777777" w:rsidR="00DA6934" w:rsidRPr="00DA6934" w:rsidRDefault="00DA6934" w:rsidP="00DA6934">
      <w:pPr>
        <w:autoSpaceDE w:val="0"/>
        <w:autoSpaceDN w:val="0"/>
        <w:adjustRightInd w:val="0"/>
        <w:spacing w:after="0" w:line="240" w:lineRule="auto"/>
        <w:ind w:left="708"/>
        <w:jc w:val="both"/>
        <w:rPr>
          <w:rFonts w:cstheme="minorHAnsi"/>
          <w:b/>
          <w:bCs/>
        </w:rPr>
      </w:pPr>
    </w:p>
    <w:p w14:paraId="05648DD3"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Suscripción </w:t>
      </w:r>
      <w:r w:rsidRPr="00DA6934">
        <w:rPr>
          <w:rFonts w:cstheme="minorHAnsi"/>
          <w:b/>
          <w:bCs/>
          <w:color w:val="FF0000"/>
        </w:rPr>
        <w:t>(Rigurosa)</w:t>
      </w:r>
    </w:p>
    <w:p w14:paraId="7DA1931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Los suscriptores se han vuelto más estrictos y los requisitos de información de suscripción han aumentado.</w:t>
      </w:r>
    </w:p>
    <w:p w14:paraId="3A93F4F4" w14:textId="77777777" w:rsidR="00DA6934" w:rsidRPr="00DA6934" w:rsidRDefault="00DA6934" w:rsidP="00DA6934">
      <w:pPr>
        <w:autoSpaceDE w:val="0"/>
        <w:autoSpaceDN w:val="0"/>
        <w:adjustRightInd w:val="0"/>
        <w:spacing w:after="0" w:line="240" w:lineRule="auto"/>
        <w:ind w:left="708"/>
        <w:jc w:val="both"/>
        <w:rPr>
          <w:rFonts w:cstheme="minorHAnsi"/>
        </w:rPr>
      </w:pPr>
    </w:p>
    <w:p w14:paraId="5928FF31"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Límites </w:t>
      </w:r>
      <w:r w:rsidRPr="00DA6934">
        <w:rPr>
          <w:rFonts w:cstheme="minorHAnsi"/>
          <w:b/>
          <w:bCs/>
          <w:color w:val="FFC000"/>
        </w:rPr>
        <w:t>(Fijos)</w:t>
      </w:r>
    </w:p>
    <w:p w14:paraId="14D2F0BE"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En la mayoría de los casos, se pueden lograr límites de vencimiento con la excepción de Sabotaje y Terrorismo, donde el límite se imponen reducciones.</w:t>
      </w:r>
    </w:p>
    <w:p w14:paraId="7B6A58C0" w14:textId="77777777" w:rsidR="00DA6934" w:rsidRPr="00DA6934" w:rsidRDefault="00DA6934" w:rsidP="00DA6934">
      <w:pPr>
        <w:autoSpaceDE w:val="0"/>
        <w:autoSpaceDN w:val="0"/>
        <w:adjustRightInd w:val="0"/>
        <w:spacing w:after="0" w:line="240" w:lineRule="auto"/>
        <w:ind w:left="708"/>
        <w:jc w:val="both"/>
        <w:rPr>
          <w:rFonts w:cstheme="minorHAnsi"/>
        </w:rPr>
      </w:pPr>
    </w:p>
    <w:p w14:paraId="39DBB2A4"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Deducibles </w:t>
      </w:r>
      <w:r w:rsidRPr="00DA6934">
        <w:rPr>
          <w:rFonts w:cstheme="minorHAnsi"/>
          <w:b/>
          <w:bCs/>
          <w:color w:val="FF0000"/>
        </w:rPr>
        <w:t>(Creciente)</w:t>
      </w:r>
    </w:p>
    <w:p w14:paraId="3C60FED7"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imponen aumentos de deducibles por riesgo de exposición a catástrofes y cobertura de incendio.</w:t>
      </w:r>
    </w:p>
    <w:p w14:paraId="701D5FF6" w14:textId="77777777" w:rsidR="00DA6934" w:rsidRPr="00DA6934" w:rsidRDefault="00DA6934" w:rsidP="00DA6934">
      <w:pPr>
        <w:autoSpaceDE w:val="0"/>
        <w:autoSpaceDN w:val="0"/>
        <w:adjustRightInd w:val="0"/>
        <w:spacing w:after="0" w:line="240" w:lineRule="auto"/>
        <w:ind w:left="708"/>
        <w:jc w:val="both"/>
        <w:rPr>
          <w:rFonts w:cstheme="minorHAnsi"/>
        </w:rPr>
      </w:pPr>
    </w:p>
    <w:p w14:paraId="31F742C0" w14:textId="77777777" w:rsidR="00DA6934" w:rsidRPr="00DA6934" w:rsidRDefault="00DA6934" w:rsidP="00DA6934">
      <w:pPr>
        <w:autoSpaceDE w:val="0"/>
        <w:autoSpaceDN w:val="0"/>
        <w:adjustRightInd w:val="0"/>
        <w:spacing w:after="0" w:line="240" w:lineRule="auto"/>
        <w:ind w:left="708"/>
        <w:jc w:val="both"/>
        <w:rPr>
          <w:rFonts w:cstheme="minorHAnsi"/>
          <w:b/>
          <w:bCs/>
        </w:rPr>
      </w:pPr>
      <w:r w:rsidRPr="00DA6934">
        <w:rPr>
          <w:rFonts w:cstheme="minorHAnsi"/>
          <w:b/>
          <w:bCs/>
        </w:rPr>
        <w:t xml:space="preserve">Coberturas </w:t>
      </w:r>
      <w:r w:rsidRPr="00DA6934">
        <w:rPr>
          <w:rFonts w:cstheme="minorHAnsi"/>
          <w:b/>
          <w:bCs/>
          <w:color w:val="FFC000"/>
        </w:rPr>
        <w:t>(Estables)</w:t>
      </w:r>
    </w:p>
    <w:p w14:paraId="75C88641"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Las coberturas que vencen se pueden lograr en la mayoría de los casos con la excepción de Sabotaje y Terrorismo, donde se imponen reducciones de cobertura.</w:t>
      </w:r>
    </w:p>
    <w:p w14:paraId="28D368E5" w14:textId="77777777" w:rsidR="00DA6934" w:rsidRPr="00DA6934" w:rsidRDefault="00DA6934" w:rsidP="00DA6934">
      <w:pPr>
        <w:autoSpaceDE w:val="0"/>
        <w:autoSpaceDN w:val="0"/>
        <w:adjustRightInd w:val="0"/>
        <w:spacing w:after="0" w:line="240" w:lineRule="auto"/>
        <w:ind w:left="708"/>
        <w:jc w:val="both"/>
        <w:rPr>
          <w:rFonts w:cstheme="minorHAnsi"/>
        </w:rPr>
      </w:pPr>
    </w:p>
    <w:p w14:paraId="516BE7A4" w14:textId="77777777" w:rsidR="00DA6934" w:rsidRPr="00DA6934" w:rsidRDefault="00DA6934" w:rsidP="00DA6934">
      <w:pPr>
        <w:autoSpaceDE w:val="0"/>
        <w:autoSpaceDN w:val="0"/>
        <w:adjustRightInd w:val="0"/>
        <w:spacing w:after="0" w:line="240" w:lineRule="auto"/>
        <w:ind w:firstLine="708"/>
        <w:jc w:val="both"/>
        <w:rPr>
          <w:rFonts w:cstheme="minorHAnsi"/>
          <w:b/>
          <w:bCs/>
        </w:rPr>
      </w:pPr>
      <w:r w:rsidRPr="00DA6934">
        <w:rPr>
          <w:rFonts w:cstheme="minorHAnsi"/>
          <w:b/>
          <w:bCs/>
        </w:rPr>
        <w:t xml:space="preserve">Proyección </w:t>
      </w:r>
      <w:r w:rsidRPr="00DA6934">
        <w:rPr>
          <w:rFonts w:cstheme="minorHAnsi"/>
          <w:b/>
          <w:bCs/>
          <w:color w:val="FF0000"/>
        </w:rPr>
        <w:t>(Desafiante)</w:t>
      </w:r>
    </w:p>
    <w:p w14:paraId="33A25F3D" w14:textId="77777777" w:rsidR="00DA6934" w:rsidRPr="00DA6934" w:rsidRDefault="00DA6934" w:rsidP="00DA6934">
      <w:pPr>
        <w:autoSpaceDE w:val="0"/>
        <w:autoSpaceDN w:val="0"/>
        <w:adjustRightInd w:val="0"/>
        <w:spacing w:after="0" w:line="240" w:lineRule="auto"/>
        <w:ind w:left="708"/>
        <w:jc w:val="both"/>
        <w:rPr>
          <w:rFonts w:cstheme="minorHAnsi"/>
        </w:rPr>
      </w:pPr>
      <w:r w:rsidRPr="00DA6934">
        <w:rPr>
          <w:rFonts w:cstheme="minorHAnsi"/>
        </w:rPr>
        <w:t>Se espera que las condiciones actuales del mercado continúen ya que las aseguradoras se centran en la rentabilidad. Los aumentos de tarifas se continuarán, y la capacidad seguirá siendo limitada. La calidad de protección contra riesgos será un factor importante para asegurar resultados favorables.</w:t>
      </w:r>
    </w:p>
    <w:p w14:paraId="772C66C5" w14:textId="77777777" w:rsidR="00DA6934" w:rsidRPr="00DA6934" w:rsidRDefault="00DA6934" w:rsidP="00DA6934">
      <w:pPr>
        <w:autoSpaceDE w:val="0"/>
        <w:autoSpaceDN w:val="0"/>
        <w:adjustRightInd w:val="0"/>
        <w:spacing w:after="0" w:line="240" w:lineRule="auto"/>
        <w:ind w:left="708"/>
        <w:jc w:val="both"/>
        <w:rPr>
          <w:rFonts w:cstheme="minorHAnsi"/>
        </w:rPr>
      </w:pPr>
    </w:p>
    <w:p w14:paraId="7D6F9BEF" w14:textId="77777777" w:rsidR="00DA6934" w:rsidRPr="00DA6934" w:rsidRDefault="00DA6934" w:rsidP="00DA6934">
      <w:pPr>
        <w:autoSpaceDE w:val="0"/>
        <w:autoSpaceDN w:val="0"/>
        <w:adjustRightInd w:val="0"/>
        <w:spacing w:after="0" w:line="240" w:lineRule="auto"/>
        <w:ind w:left="708"/>
        <w:jc w:val="both"/>
        <w:rPr>
          <w:rFonts w:cstheme="minorHAnsi"/>
        </w:rPr>
      </w:pPr>
    </w:p>
    <w:p w14:paraId="3DBE1024" w14:textId="13325C43" w:rsidR="00DA6934" w:rsidRPr="00DA6934" w:rsidRDefault="00DA6934" w:rsidP="00DA6934">
      <w:pPr>
        <w:autoSpaceDE w:val="0"/>
        <w:autoSpaceDN w:val="0"/>
        <w:adjustRightInd w:val="0"/>
        <w:spacing w:after="0" w:line="240" w:lineRule="auto"/>
        <w:jc w:val="both"/>
        <w:rPr>
          <w:rFonts w:cstheme="minorHAnsi"/>
          <w:b/>
          <w:bCs/>
        </w:rPr>
      </w:pPr>
      <w:r w:rsidRPr="00DA6934">
        <w:rPr>
          <w:rFonts w:cstheme="minorHAnsi"/>
          <w:b/>
          <w:bCs/>
        </w:rPr>
        <w:t>Crédito comercial</w:t>
      </w:r>
    </w:p>
    <w:p w14:paraId="3F7E19B5" w14:textId="77777777" w:rsidR="00DA6934" w:rsidRPr="00DA6934" w:rsidRDefault="00DA6934" w:rsidP="00DA6934">
      <w:pPr>
        <w:spacing w:after="0" w:line="240" w:lineRule="auto"/>
        <w:contextualSpacing/>
        <w:jc w:val="both"/>
        <w:rPr>
          <w:rFonts w:cstheme="minorHAnsi"/>
        </w:rPr>
      </w:pPr>
    </w:p>
    <w:p w14:paraId="63AD0C6B" w14:textId="77777777" w:rsidR="00DA6934" w:rsidRPr="00DA6934" w:rsidRDefault="00DA6934" w:rsidP="00DA6934">
      <w:pPr>
        <w:spacing w:after="0" w:line="240" w:lineRule="auto"/>
        <w:ind w:left="708"/>
        <w:contextualSpacing/>
        <w:jc w:val="both"/>
        <w:rPr>
          <w:rFonts w:cstheme="minorHAnsi"/>
        </w:rPr>
      </w:pPr>
      <w:r w:rsidRPr="00DA6934">
        <w:rPr>
          <w:rFonts w:cstheme="minorHAnsi"/>
          <w:b/>
          <w:bCs/>
        </w:rPr>
        <w:t xml:space="preserve">Condiciones Generales </w:t>
      </w:r>
      <w:r w:rsidRPr="00DA6934">
        <w:rPr>
          <w:rFonts w:cstheme="minorHAnsi"/>
          <w:b/>
          <w:bCs/>
          <w:color w:val="FFC000"/>
        </w:rPr>
        <w:t>(Moderado)</w:t>
      </w:r>
    </w:p>
    <w:p w14:paraId="00C252A5"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Los mercados crediticios experimentaron una gran perturbación como resultado de COVID-19; sin embargo, como los impactos económicos de la pandemia han cedido en gran medida, el seguro el mercado se ha estabilizado y moderado.</w:t>
      </w:r>
    </w:p>
    <w:p w14:paraId="39E93B64" w14:textId="77777777" w:rsidR="00DA6934" w:rsidRPr="00DA6934" w:rsidRDefault="00DA6934" w:rsidP="00DA6934">
      <w:pPr>
        <w:spacing w:after="0" w:line="240" w:lineRule="auto"/>
        <w:ind w:left="708"/>
        <w:contextualSpacing/>
        <w:jc w:val="both"/>
        <w:rPr>
          <w:rFonts w:cstheme="minorHAnsi"/>
        </w:rPr>
      </w:pPr>
    </w:p>
    <w:p w14:paraId="43982EB1"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Precios </w:t>
      </w:r>
      <w:r w:rsidRPr="00DA6934">
        <w:rPr>
          <w:rFonts w:cstheme="minorHAnsi"/>
          <w:b/>
          <w:bCs/>
          <w:color w:val="FFC000"/>
        </w:rPr>
        <w:t>(Prudente)</w:t>
      </w:r>
    </w:p>
    <w:p w14:paraId="4044068E"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Tras los ajustes de precios en 2020 y principios de 2021, el precio de mercado es estable y el precio fijo de renovación puede a menudo se logra.</w:t>
      </w:r>
    </w:p>
    <w:p w14:paraId="0CBC4FA7" w14:textId="77777777" w:rsidR="00DA6934" w:rsidRPr="00DA6934" w:rsidRDefault="00DA6934" w:rsidP="00DA6934">
      <w:pPr>
        <w:spacing w:after="0" w:line="240" w:lineRule="auto"/>
        <w:ind w:left="708"/>
        <w:contextualSpacing/>
        <w:jc w:val="both"/>
        <w:rPr>
          <w:rFonts w:cstheme="minorHAnsi"/>
        </w:rPr>
      </w:pPr>
    </w:p>
    <w:p w14:paraId="2F4879E2" w14:textId="77777777" w:rsidR="00DA6934" w:rsidRPr="00DA6934" w:rsidRDefault="00DA6934" w:rsidP="00DA6934">
      <w:pPr>
        <w:spacing w:after="0" w:line="240" w:lineRule="auto"/>
        <w:ind w:left="708"/>
        <w:contextualSpacing/>
        <w:jc w:val="both"/>
        <w:rPr>
          <w:rFonts w:cstheme="minorHAnsi"/>
          <w:b/>
          <w:bCs/>
          <w:color w:val="FFC000"/>
        </w:rPr>
      </w:pPr>
      <w:r w:rsidRPr="00DA6934">
        <w:rPr>
          <w:rFonts w:cstheme="minorHAnsi"/>
          <w:b/>
          <w:bCs/>
        </w:rPr>
        <w:t xml:space="preserve">Capacidad </w:t>
      </w:r>
      <w:r w:rsidRPr="00DA6934">
        <w:rPr>
          <w:rFonts w:cstheme="minorHAnsi"/>
          <w:b/>
          <w:bCs/>
          <w:color w:val="FFC000"/>
        </w:rPr>
        <w:t>(Amplia)</w:t>
      </w:r>
    </w:p>
    <w:p w14:paraId="0A78A02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La capacidad es generalmente suficiente; sin embargo, las aseguradoras son desplegándolo con cautela en función de su suscripción políticas y apetito.</w:t>
      </w:r>
    </w:p>
    <w:p w14:paraId="50A3E156" w14:textId="77777777" w:rsidR="00DA6934" w:rsidRPr="00DA6934" w:rsidRDefault="00DA6934" w:rsidP="00DA6934">
      <w:pPr>
        <w:spacing w:after="0" w:line="240" w:lineRule="auto"/>
        <w:ind w:left="708"/>
        <w:contextualSpacing/>
        <w:jc w:val="both"/>
        <w:rPr>
          <w:rFonts w:cstheme="minorHAnsi"/>
        </w:rPr>
      </w:pPr>
    </w:p>
    <w:p w14:paraId="3A0887CB"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Suscripción </w:t>
      </w:r>
      <w:r w:rsidRPr="00DA6934">
        <w:rPr>
          <w:rFonts w:cstheme="minorHAnsi"/>
          <w:b/>
          <w:bCs/>
          <w:color w:val="FFC000"/>
        </w:rPr>
        <w:t>(Prudente)</w:t>
      </w:r>
    </w:p>
    <w:p w14:paraId="744E51A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A pesar de las pérdidas mejores de lo esperado en 2021, las aseguradoras siguen siendo conservadoras en su suscripción debido a la preocupación persistente de que las pérdidas de COVID-19 puedan aún se materializa.</w:t>
      </w:r>
    </w:p>
    <w:p w14:paraId="7B9E9A5A" w14:textId="77777777" w:rsidR="00DA6934" w:rsidRPr="00DA6934" w:rsidRDefault="00DA6934" w:rsidP="00DA6934">
      <w:pPr>
        <w:spacing w:after="0" w:line="240" w:lineRule="auto"/>
        <w:ind w:left="708"/>
        <w:contextualSpacing/>
        <w:jc w:val="both"/>
        <w:rPr>
          <w:rFonts w:cstheme="minorHAnsi"/>
        </w:rPr>
      </w:pPr>
    </w:p>
    <w:p w14:paraId="0E945B1F"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Límites </w:t>
      </w:r>
      <w:r w:rsidRPr="00DA6934">
        <w:rPr>
          <w:rFonts w:cstheme="minorHAnsi"/>
          <w:b/>
          <w:bCs/>
          <w:color w:val="00B050"/>
        </w:rPr>
        <w:t>(Crecientes)</w:t>
      </w:r>
    </w:p>
    <w:p w14:paraId="6C786171"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Los aumentos de límite están disponibles a medida que se produce el crecimiento en varios sectores clave.</w:t>
      </w:r>
    </w:p>
    <w:p w14:paraId="613F1A32" w14:textId="77777777" w:rsidR="00DA6934" w:rsidRPr="00DA6934" w:rsidRDefault="00DA6934" w:rsidP="00DA6934">
      <w:pPr>
        <w:spacing w:after="0" w:line="240" w:lineRule="auto"/>
        <w:ind w:left="708"/>
        <w:contextualSpacing/>
        <w:jc w:val="both"/>
        <w:rPr>
          <w:rFonts w:cstheme="minorHAnsi"/>
        </w:rPr>
      </w:pPr>
    </w:p>
    <w:p w14:paraId="4CDCCA9A"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Deducibles (Prudente)</w:t>
      </w:r>
    </w:p>
    <w:p w14:paraId="4D555900"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Se pueden lograr deducibles que vencen, pero a menudo solo en junto con un aumento de la tarifa.</w:t>
      </w:r>
    </w:p>
    <w:p w14:paraId="5E4433C8" w14:textId="77777777" w:rsidR="00DA6934" w:rsidRPr="00DA6934" w:rsidRDefault="00DA6934" w:rsidP="00DA6934">
      <w:pPr>
        <w:spacing w:after="0" w:line="240" w:lineRule="auto"/>
        <w:ind w:left="708"/>
        <w:contextualSpacing/>
        <w:jc w:val="both"/>
        <w:rPr>
          <w:rFonts w:cstheme="minorHAnsi"/>
        </w:rPr>
      </w:pPr>
    </w:p>
    <w:p w14:paraId="7983773D"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Coberturas </w:t>
      </w:r>
      <w:r w:rsidRPr="00DA6934">
        <w:rPr>
          <w:rFonts w:cstheme="minorHAnsi"/>
          <w:b/>
          <w:bCs/>
          <w:color w:val="FFC000"/>
        </w:rPr>
        <w:t>(Estables)</w:t>
      </w:r>
    </w:p>
    <w:p w14:paraId="43825B77"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En la mayoría de los casos, se pueden lograr coberturas que vencen; sin embargo, las coberturas previamente incluidas sin costo adicional ahora el cargo puede conllevar una prima adicional.</w:t>
      </w:r>
    </w:p>
    <w:p w14:paraId="28B17374" w14:textId="77777777" w:rsidR="00DA6934" w:rsidRPr="00DA6934" w:rsidRDefault="00DA6934" w:rsidP="00DA6934">
      <w:pPr>
        <w:spacing w:after="0" w:line="240" w:lineRule="auto"/>
        <w:ind w:left="708"/>
        <w:contextualSpacing/>
        <w:jc w:val="both"/>
        <w:rPr>
          <w:rFonts w:cstheme="minorHAnsi"/>
        </w:rPr>
      </w:pPr>
    </w:p>
    <w:p w14:paraId="3AA6DFEA" w14:textId="77777777" w:rsidR="00DA6934" w:rsidRPr="00DA6934" w:rsidRDefault="00DA6934" w:rsidP="00DA6934">
      <w:pPr>
        <w:spacing w:after="0" w:line="240" w:lineRule="auto"/>
        <w:ind w:left="708"/>
        <w:contextualSpacing/>
        <w:jc w:val="both"/>
        <w:rPr>
          <w:rFonts w:cstheme="minorHAnsi"/>
          <w:b/>
          <w:bCs/>
        </w:rPr>
      </w:pPr>
      <w:r w:rsidRPr="00DA6934">
        <w:rPr>
          <w:rFonts w:cstheme="minorHAnsi"/>
          <w:b/>
          <w:bCs/>
        </w:rPr>
        <w:t xml:space="preserve">Proyección </w:t>
      </w:r>
      <w:r w:rsidRPr="00DA6934">
        <w:rPr>
          <w:rFonts w:cstheme="minorHAnsi"/>
          <w:b/>
          <w:bCs/>
          <w:color w:val="FFC000"/>
        </w:rPr>
        <w:t>(Estable)</w:t>
      </w:r>
    </w:p>
    <w:p w14:paraId="2EE8E562" w14:textId="77777777" w:rsidR="00DA6934" w:rsidRPr="00DA6934" w:rsidRDefault="00DA6934" w:rsidP="00DA6934">
      <w:pPr>
        <w:spacing w:after="0" w:line="240" w:lineRule="auto"/>
        <w:ind w:left="708"/>
        <w:contextualSpacing/>
        <w:jc w:val="both"/>
        <w:rPr>
          <w:rFonts w:cstheme="minorHAnsi"/>
        </w:rPr>
      </w:pPr>
      <w:r w:rsidRPr="00DA6934">
        <w:rPr>
          <w:rFonts w:cstheme="minorHAnsi"/>
        </w:rPr>
        <w:t>La importancia del seguro de crédito crece a medida que crece la economía. Se espera que el apetito de las aseguradoras se reenfoque, con algunas aseguradoras apuntando a nichos específicos de menor riesgo.</w:t>
      </w:r>
    </w:p>
    <w:p w14:paraId="3B786947"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lastRenderedPageBreak/>
        <w:t>Desde el punto de vista económico financiero, las empresas aseguradoras son intermediarios financieros que emiten, como activo financiero específico, las pólizas o contratos de seguros, obteniendo financiación mediante el cobro del precio o prima del seguro, y constituyen las oportunas reservas o provisiones técnicas (operaciones pasivas) a la espera de que se realice el pago de la indemnización o prestación garantizada (suma asegurada), por alguna contingencia ocurrida o por estimación de su posible ocurrencia por métodos y procedimientos actuariales.</w:t>
      </w:r>
    </w:p>
    <w:p w14:paraId="156BA987" w14:textId="77777777" w:rsidR="008C436F" w:rsidRPr="00F25B58" w:rsidRDefault="008C436F" w:rsidP="008C436F">
      <w:pPr>
        <w:spacing w:after="0" w:line="240" w:lineRule="auto"/>
        <w:jc w:val="both"/>
        <w:rPr>
          <w:rFonts w:eastAsia="Times New Roman" w:cstheme="minorHAnsi"/>
          <w:lang w:eastAsia="es-CO"/>
        </w:rPr>
      </w:pPr>
    </w:p>
    <w:p w14:paraId="5E5366A0"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 técnica del seguro se basa en el pago anticipado de los recursos que se invierten a largo plazo, fijándose las reservas especiales, las denominadas provisiones técnicas, que garantizan, cuando ocurran eventos dañosos, el pago de las indemnizaciones por siniestro. Las citadas reservas son invertidas por las empresas de seguros normalmente en activos reales (inmuebles) o en activos financieros (títulos o valores mobiliarios, operaciones activas).</w:t>
      </w:r>
    </w:p>
    <w:p w14:paraId="4094E603" w14:textId="77777777" w:rsidR="008C436F" w:rsidRPr="00F25B58" w:rsidRDefault="008C436F" w:rsidP="008C436F">
      <w:pPr>
        <w:spacing w:after="0" w:line="240" w:lineRule="auto"/>
        <w:jc w:val="both"/>
        <w:rPr>
          <w:rFonts w:eastAsia="Times New Roman" w:cstheme="minorHAnsi"/>
          <w:lang w:eastAsia="es-CO"/>
        </w:rPr>
      </w:pPr>
    </w:p>
    <w:p w14:paraId="2B48CB6C"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Las provisiones técnicas se derivan inmediatamente de los contratos de seguro, formándose con una parte de las aportaciones de los asegurados y corresponden a la obligación futura que para con ellos tiene el asegurador. En tanto que el margen de solvencia lo constituye el patrimonio de la entidad aseguradora libre de todo compromiso previsible y con deducción de los elementos inmateriales.</w:t>
      </w:r>
    </w:p>
    <w:p w14:paraId="22B0A8E8" w14:textId="77777777" w:rsidR="008C436F" w:rsidRPr="00F25B58" w:rsidRDefault="008C436F" w:rsidP="008C436F">
      <w:pPr>
        <w:spacing w:after="0" w:line="240" w:lineRule="auto"/>
        <w:jc w:val="both"/>
        <w:rPr>
          <w:rFonts w:eastAsia="Times New Roman" w:cstheme="minorHAnsi"/>
          <w:lang w:eastAsia="es-CO"/>
        </w:rPr>
      </w:pPr>
    </w:p>
    <w:p w14:paraId="6E4C885F"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Al constituirse un contrato, la compañía de seguros al recibir una prima en concepto de pago se obliga frente al asegurado a indemnizarle según lo pactado, si deviene el evento no deseado. El espíritu es restituir al asegurado al "estado" previo al siniestro, para que la calamidad no se convierta en lucro.</w:t>
      </w:r>
    </w:p>
    <w:p w14:paraId="09189848" w14:textId="77777777" w:rsidR="008C436F" w:rsidRPr="00F25B58" w:rsidRDefault="008C436F" w:rsidP="008C436F">
      <w:pPr>
        <w:spacing w:after="0" w:line="240" w:lineRule="auto"/>
        <w:jc w:val="both"/>
        <w:rPr>
          <w:rFonts w:eastAsia="Times New Roman" w:cstheme="minorHAnsi"/>
          <w:lang w:eastAsia="es-CO"/>
        </w:rPr>
      </w:pPr>
    </w:p>
    <w:p w14:paraId="0F96A7B3" w14:textId="77777777" w:rsidR="008C436F" w:rsidRPr="00F25B58" w:rsidRDefault="008C436F" w:rsidP="008C436F">
      <w:pPr>
        <w:spacing w:after="0" w:line="240" w:lineRule="auto"/>
        <w:jc w:val="both"/>
        <w:rPr>
          <w:rFonts w:eastAsia="Times New Roman" w:cstheme="minorHAnsi"/>
          <w:lang w:eastAsia="es-CO"/>
        </w:rPr>
      </w:pPr>
      <w:r w:rsidRPr="00F25B58">
        <w:rPr>
          <w:rFonts w:eastAsia="Times New Roman" w:cstheme="minorHAnsi"/>
          <w:lang w:eastAsia="es-CO"/>
        </w:rPr>
        <w:t>El seguro realiza una importante labor de prevención mediante la selección de riesgos y la adecuada cotización de primas; juega un papel importante en materia crediticia; constituye una importante fuente de ingreso al fisco, y; en el aspecto individual, el seguro se destaca el espíritu de prevención que representa el tratar de prevenirse de las consecuencias desfavorables de un evento, con la consiguiente mejora de la conciencia social de los individuos.</w:t>
      </w:r>
    </w:p>
    <w:p w14:paraId="21AC3195" w14:textId="77777777" w:rsidR="008C436F" w:rsidRPr="00F25B58" w:rsidRDefault="008C436F" w:rsidP="008C436F">
      <w:pPr>
        <w:spacing w:after="0" w:line="240" w:lineRule="auto"/>
        <w:jc w:val="both"/>
        <w:rPr>
          <w:rFonts w:eastAsia="Times New Roman" w:cstheme="minorHAnsi"/>
          <w:lang w:eastAsia="es-CO"/>
        </w:rPr>
      </w:pPr>
    </w:p>
    <w:p w14:paraId="65F6D367" w14:textId="77777777" w:rsidR="008C436F" w:rsidRPr="00F25B58" w:rsidRDefault="00010FB4" w:rsidP="0073162A">
      <w:pPr>
        <w:pStyle w:val="Prrafodelista"/>
        <w:numPr>
          <w:ilvl w:val="0"/>
          <w:numId w:val="3"/>
        </w:numPr>
        <w:spacing w:after="0" w:line="240" w:lineRule="auto"/>
        <w:jc w:val="both"/>
        <w:rPr>
          <w:rFonts w:cstheme="minorHAnsi"/>
          <w:b/>
          <w:bCs/>
        </w:rPr>
      </w:pPr>
      <w:hyperlink r:id="rId13" w:history="1">
        <w:r w:rsidR="008C436F" w:rsidRPr="00F25B58">
          <w:rPr>
            <w:rFonts w:cstheme="minorHAnsi"/>
            <w:b/>
            <w:bCs/>
          </w:rPr>
          <w:t>Federación de Aseguradores Colombianos</w:t>
        </w:r>
      </w:hyperlink>
      <w:r w:rsidR="008C436F" w:rsidRPr="00F25B58">
        <w:rPr>
          <w:rFonts w:cstheme="minorHAnsi"/>
          <w:b/>
          <w:bCs/>
        </w:rPr>
        <w:t xml:space="preserve"> (Fasecolda)</w:t>
      </w:r>
    </w:p>
    <w:p w14:paraId="4919120D" w14:textId="77777777" w:rsidR="008C436F" w:rsidRPr="00F25B58" w:rsidRDefault="008C436F" w:rsidP="008C436F">
      <w:pPr>
        <w:shd w:val="clear" w:color="auto" w:fill="FFFFFF"/>
        <w:spacing w:after="0" w:line="240" w:lineRule="auto"/>
        <w:jc w:val="both"/>
        <w:rPr>
          <w:rFonts w:eastAsia="Times New Roman" w:cstheme="minorHAnsi"/>
          <w:lang w:eastAsia="es-CO"/>
        </w:rPr>
      </w:pPr>
    </w:p>
    <w:p w14:paraId="602B04DB"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La Federación de Aseguradores Colombianos (Fasecolda), es el gremio que agrupa a las compañías de seguros, de reaseguros y a las sociedades de capitalización en todo el territorio nacional. Fasecolda es una entidad gremial sin ánimo de lucro que representa la actividad del sector asegurador frente a las entidades de vigilancia y control, así como a la sociedad en general. En especial, está dedicada a impulsar la cultura de los seguros y la modernización de la industria. En vista a lograr esto, analiza y recolecta estadísticas generales y específicas de los resultados del sector.</w:t>
      </w:r>
    </w:p>
    <w:p w14:paraId="6D6639EB"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05C8EFF3"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Por medio de su Web, podemos conocer la misión de Fasecolda, a saber:</w:t>
      </w:r>
    </w:p>
    <w:p w14:paraId="08A9EF42" w14:textId="77777777"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7A4C705E"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Búsqueda del beneficio y el desarrollo de la industria aseguradora en términos de penetración, estabilidad, modernización y rentabilidad.</w:t>
      </w:r>
    </w:p>
    <w:p w14:paraId="617FCB98"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Representación y defensa del sector asegurador ante el país, los poderes ejecutivo, legislativo y judicial, y los organismos internacionales.</w:t>
      </w:r>
    </w:p>
    <w:p w14:paraId="7EB27363" w14:textId="77777777"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t>Generación de un mayor conocimiento técnico y objetivo sobre la industria aseguradora en Colombia y en el mundo.</w:t>
      </w:r>
    </w:p>
    <w:p w14:paraId="1F018FC2" w14:textId="0FAB483A" w:rsidR="00246DFE" w:rsidRPr="00AD6B97" w:rsidRDefault="00246DFE" w:rsidP="0073162A">
      <w:pPr>
        <w:pStyle w:val="Prrafodelista"/>
        <w:numPr>
          <w:ilvl w:val="0"/>
          <w:numId w:val="12"/>
        </w:numPr>
        <w:autoSpaceDE w:val="0"/>
        <w:autoSpaceDN w:val="0"/>
        <w:adjustRightInd w:val="0"/>
        <w:spacing w:after="0" w:line="240" w:lineRule="auto"/>
        <w:jc w:val="both"/>
        <w:rPr>
          <w:rFonts w:eastAsia="Times New Roman" w:cstheme="minorHAnsi"/>
          <w:lang w:eastAsia="es-CO"/>
        </w:rPr>
      </w:pPr>
      <w:r w:rsidRPr="00AD6B97">
        <w:rPr>
          <w:rFonts w:eastAsia="Times New Roman" w:cstheme="minorHAnsi"/>
          <w:lang w:eastAsia="es-CO"/>
        </w:rPr>
        <w:lastRenderedPageBreak/>
        <w:t>Desarrollo y administración de servicios y productos institucionales que agreguen valor al sector asegurador.</w:t>
      </w:r>
      <w:r w:rsidR="00117B47">
        <w:rPr>
          <w:rStyle w:val="Refdenotaalpie"/>
          <w:rFonts w:eastAsia="Times New Roman" w:cstheme="minorHAnsi"/>
          <w:lang w:eastAsia="es-CO"/>
        </w:rPr>
        <w:footnoteReference w:id="1"/>
      </w:r>
      <w:r w:rsidRPr="00AD6B97">
        <w:rPr>
          <w:rFonts w:eastAsia="Times New Roman" w:cstheme="minorHAnsi"/>
          <w:lang w:eastAsia="es-CO"/>
        </w:rPr>
        <w:t xml:space="preserve"> </w:t>
      </w:r>
    </w:p>
    <w:p w14:paraId="19F4C372" w14:textId="3E4C274D"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5DFAA835" w14:textId="5437656A"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 xml:space="preserve">Como promoción de una mejor imagen de la industria aseguradora en Colombia, a continuación, se presente gráfica correspondiente al acumulado comparativo de primas de los ramos de seguros generales y vida al mes de </w:t>
      </w:r>
      <w:r w:rsidR="00EE11CD">
        <w:rPr>
          <w:rFonts w:eastAsia="Times New Roman" w:cstheme="minorHAnsi"/>
          <w:lang w:eastAsia="es-CO"/>
        </w:rPr>
        <w:t>diciembre</w:t>
      </w:r>
      <w:r w:rsidRPr="00246DFE">
        <w:rPr>
          <w:rFonts w:eastAsia="Times New Roman" w:cstheme="minorHAnsi"/>
          <w:lang w:eastAsia="es-CO"/>
        </w:rPr>
        <w:t xml:space="preserve"> 2022, el cual refleja que los seguros de daños, automóviles, colectivo vida y riesgos laborales son los más relevantes en el mercado asegurador colombiano:</w:t>
      </w:r>
    </w:p>
    <w:p w14:paraId="7413D124" w14:textId="5A79E709"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374B54C1" w14:textId="73A253B4" w:rsidR="00246DFE" w:rsidRPr="00246DFE"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Es sabido que el sector de seguros, a la vez que contribuye al mayor crecimiento de la economía, es impulsado por este. En este contexto, el mencionado incremento del ingreso, la reducción de la pobreza y el fortalecimiento de la clase media son factores decisivos para lograr una mayor densidad y penetración de los seguros.</w:t>
      </w:r>
    </w:p>
    <w:p w14:paraId="5FFF418F" w14:textId="723A3608" w:rsidR="00246DFE" w:rsidRPr="00246DFE" w:rsidRDefault="00246DFE" w:rsidP="00246DFE">
      <w:pPr>
        <w:autoSpaceDE w:val="0"/>
        <w:autoSpaceDN w:val="0"/>
        <w:adjustRightInd w:val="0"/>
        <w:spacing w:after="0" w:line="240" w:lineRule="auto"/>
        <w:jc w:val="both"/>
        <w:rPr>
          <w:rFonts w:eastAsia="Times New Roman" w:cstheme="minorHAnsi"/>
          <w:lang w:eastAsia="es-CO"/>
        </w:rPr>
      </w:pPr>
    </w:p>
    <w:p w14:paraId="21F83003" w14:textId="4226FB98" w:rsidR="005C18E0" w:rsidRDefault="00246DFE" w:rsidP="00246DFE">
      <w:pPr>
        <w:autoSpaceDE w:val="0"/>
        <w:autoSpaceDN w:val="0"/>
        <w:adjustRightInd w:val="0"/>
        <w:spacing w:after="0" w:line="240" w:lineRule="auto"/>
        <w:jc w:val="both"/>
        <w:rPr>
          <w:rFonts w:eastAsia="Times New Roman" w:cstheme="minorHAnsi"/>
          <w:lang w:eastAsia="es-CO"/>
        </w:rPr>
      </w:pPr>
      <w:r w:rsidRPr="00246DFE">
        <w:rPr>
          <w:rFonts w:eastAsia="Times New Roman" w:cstheme="minorHAnsi"/>
          <w:lang w:eastAsia="es-CO"/>
        </w:rPr>
        <w:t>La mayor demanda y los proyectos de gobierno permiten esperar una buena dinámica especialmente de los seguros relacionados con el mercado automotor, el sector transporte y el sector de la construcción de vivienda.</w:t>
      </w:r>
    </w:p>
    <w:p w14:paraId="10117E32" w14:textId="31B5ECE6" w:rsidR="00811FFD" w:rsidRDefault="00811FFD" w:rsidP="00246DFE">
      <w:pPr>
        <w:autoSpaceDE w:val="0"/>
        <w:autoSpaceDN w:val="0"/>
        <w:adjustRightInd w:val="0"/>
        <w:spacing w:after="0" w:line="240" w:lineRule="auto"/>
        <w:jc w:val="both"/>
        <w:rPr>
          <w:rFonts w:eastAsia="Times New Roman" w:cstheme="minorHAnsi"/>
          <w:lang w:eastAsia="es-CO"/>
        </w:rPr>
      </w:pPr>
    </w:p>
    <w:p w14:paraId="4E8C0870" w14:textId="2A10401D" w:rsidR="00AF03B3" w:rsidRDefault="00040F52" w:rsidP="00AF03B3">
      <w:pPr>
        <w:autoSpaceDE w:val="0"/>
        <w:autoSpaceDN w:val="0"/>
        <w:adjustRightInd w:val="0"/>
        <w:spacing w:after="0" w:line="240" w:lineRule="auto"/>
        <w:jc w:val="center"/>
        <w:rPr>
          <w:rFonts w:eastAsia="Times New Roman" w:cstheme="minorHAnsi"/>
          <w:b/>
          <w:bCs/>
          <w:lang w:eastAsia="es-CO"/>
        </w:rPr>
      </w:pPr>
      <w:r w:rsidRPr="00FA5596">
        <w:rPr>
          <w:noProof/>
        </w:rPr>
        <w:drawing>
          <wp:anchor distT="0" distB="0" distL="114300" distR="114300" simplePos="0" relativeHeight="251664384" behindDoc="0" locked="0" layoutInCell="1" allowOverlap="1" wp14:anchorId="51425F9D" wp14:editId="29B370D8">
            <wp:simplePos x="0" y="0"/>
            <wp:positionH relativeFrom="column">
              <wp:posOffset>-308305</wp:posOffset>
            </wp:positionH>
            <wp:positionV relativeFrom="paragraph">
              <wp:posOffset>244475</wp:posOffset>
            </wp:positionV>
            <wp:extent cx="6080125" cy="4321810"/>
            <wp:effectExtent l="0" t="0" r="0" b="254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154"/>
                    <a:stretch/>
                  </pic:blipFill>
                  <pic:spPr bwMode="auto">
                    <a:xfrm>
                      <a:off x="0" y="0"/>
                      <a:ext cx="6080125" cy="432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3B3" w:rsidRPr="00C40885">
        <w:rPr>
          <w:rFonts w:eastAsia="Times New Roman" w:cstheme="minorHAnsi"/>
          <w:b/>
          <w:bCs/>
          <w:lang w:eastAsia="es-CO"/>
        </w:rPr>
        <w:t>Ilustración 1: Variables del sector</w:t>
      </w:r>
    </w:p>
    <w:p w14:paraId="4C785800" w14:textId="77777777" w:rsidR="00040F52" w:rsidRDefault="00040F52" w:rsidP="00AF03B3">
      <w:pPr>
        <w:autoSpaceDE w:val="0"/>
        <w:autoSpaceDN w:val="0"/>
        <w:adjustRightInd w:val="0"/>
        <w:spacing w:after="0" w:line="240" w:lineRule="auto"/>
        <w:jc w:val="center"/>
        <w:rPr>
          <w:rFonts w:eastAsia="Times New Roman" w:cstheme="minorHAnsi"/>
          <w:b/>
          <w:bCs/>
          <w:lang w:eastAsia="es-CO"/>
        </w:rPr>
      </w:pPr>
    </w:p>
    <w:p w14:paraId="3A2BA6C0" w14:textId="63E9DB47" w:rsidR="00FA5596" w:rsidRPr="009254F5" w:rsidRDefault="00D90101" w:rsidP="00D90101">
      <w:pPr>
        <w:autoSpaceDE w:val="0"/>
        <w:autoSpaceDN w:val="0"/>
        <w:adjustRightInd w:val="0"/>
        <w:spacing w:after="0" w:line="240" w:lineRule="auto"/>
        <w:jc w:val="center"/>
        <w:rPr>
          <w:rFonts w:eastAsia="Times New Roman" w:cstheme="minorHAnsi"/>
          <w:b/>
          <w:bCs/>
          <w:sz w:val="16"/>
          <w:szCs w:val="16"/>
          <w:lang w:eastAsia="es-CO"/>
        </w:rPr>
      </w:pPr>
      <w:r w:rsidRPr="009254F5">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sidR="00AA22C2">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p>
    <w:p w14:paraId="3CCB7883" w14:textId="06F55217" w:rsidR="00AF03B3" w:rsidRDefault="00AF03B3">
      <w:pPr>
        <w:spacing w:after="160" w:line="259" w:lineRule="auto"/>
        <w:rPr>
          <w:rFonts w:eastAsia="Times New Roman" w:cstheme="minorHAnsi"/>
          <w:b/>
          <w:bCs/>
          <w:lang w:eastAsia="es-CO"/>
        </w:rPr>
      </w:pPr>
    </w:p>
    <w:p w14:paraId="6639EA1C" w14:textId="78E9CF87" w:rsidR="00FA5596" w:rsidRPr="00746261" w:rsidRDefault="00746261" w:rsidP="00746261">
      <w:pPr>
        <w:autoSpaceDE w:val="0"/>
        <w:autoSpaceDN w:val="0"/>
        <w:adjustRightInd w:val="0"/>
        <w:spacing w:after="0" w:line="240" w:lineRule="auto"/>
        <w:jc w:val="center"/>
        <w:rPr>
          <w:rFonts w:eastAsia="Times New Roman" w:cstheme="minorHAnsi"/>
          <w:b/>
          <w:bCs/>
          <w:lang w:eastAsia="es-CO"/>
        </w:rPr>
      </w:pPr>
      <w:r w:rsidRPr="00746261">
        <w:rPr>
          <w:rFonts w:eastAsia="Times New Roman" w:cstheme="minorHAnsi"/>
          <w:b/>
          <w:bCs/>
          <w:lang w:eastAsia="es-CO"/>
        </w:rPr>
        <w:t>Ilustración 2: Estructura del mercado asegurador</w:t>
      </w:r>
    </w:p>
    <w:p w14:paraId="437C9CF7" w14:textId="1E9E91D0" w:rsidR="00FA5596" w:rsidRDefault="00FA5596" w:rsidP="00246DFE">
      <w:pPr>
        <w:autoSpaceDE w:val="0"/>
        <w:autoSpaceDN w:val="0"/>
        <w:adjustRightInd w:val="0"/>
        <w:spacing w:after="0" w:line="240" w:lineRule="auto"/>
        <w:jc w:val="both"/>
        <w:rPr>
          <w:rFonts w:eastAsia="Times New Roman" w:cstheme="minorHAnsi"/>
          <w:lang w:eastAsia="es-CO"/>
        </w:rPr>
      </w:pPr>
    </w:p>
    <w:p w14:paraId="444CA97C" w14:textId="3E7AA15E" w:rsidR="00FA5596" w:rsidRPr="00F25B58" w:rsidRDefault="005B62BD" w:rsidP="00040F52">
      <w:pPr>
        <w:autoSpaceDE w:val="0"/>
        <w:autoSpaceDN w:val="0"/>
        <w:adjustRightInd w:val="0"/>
        <w:spacing w:after="0" w:line="240" w:lineRule="auto"/>
        <w:jc w:val="center"/>
        <w:rPr>
          <w:rFonts w:eastAsia="Times New Roman" w:cstheme="minorHAnsi"/>
          <w:lang w:eastAsia="es-CO"/>
        </w:rPr>
      </w:pPr>
      <w:r w:rsidRPr="005B62BD">
        <w:rPr>
          <w:noProof/>
        </w:rPr>
        <w:drawing>
          <wp:inline distT="0" distB="0" distL="0" distR="0" wp14:anchorId="7A7A0603" wp14:editId="1504A41E">
            <wp:extent cx="4841874" cy="3056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731" cy="3063201"/>
                    </a:xfrm>
                    <a:prstGeom prst="rect">
                      <a:avLst/>
                    </a:prstGeom>
                    <a:noFill/>
                    <a:ln>
                      <a:noFill/>
                    </a:ln>
                  </pic:spPr>
                </pic:pic>
              </a:graphicData>
            </a:graphic>
          </wp:inline>
        </w:drawing>
      </w:r>
    </w:p>
    <w:p w14:paraId="05EAEA45" w14:textId="2252215C" w:rsidR="003A24EF" w:rsidRPr="00AA22C2" w:rsidRDefault="00AA22C2" w:rsidP="00AA22C2">
      <w:pPr>
        <w:autoSpaceDE w:val="0"/>
        <w:autoSpaceDN w:val="0"/>
        <w:adjustRightInd w:val="0"/>
        <w:spacing w:after="0" w:line="240" w:lineRule="auto"/>
        <w:jc w:val="center"/>
        <w:rPr>
          <w:rFonts w:eastAsia="Times New Roman" w:cstheme="minorHAnsi"/>
          <w:b/>
          <w:bCs/>
          <w:sz w:val="16"/>
          <w:szCs w:val="16"/>
          <w:lang w:eastAsia="es-CO"/>
        </w:rPr>
      </w:pPr>
      <w:r w:rsidRPr="00AA22C2">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p>
    <w:p w14:paraId="40FAB603" w14:textId="6C14EAE7" w:rsidR="00746261" w:rsidRDefault="00746261" w:rsidP="002B2A4D">
      <w:pPr>
        <w:spacing w:after="0" w:line="240" w:lineRule="auto"/>
        <w:jc w:val="both"/>
        <w:rPr>
          <w:rFonts w:cstheme="minorHAnsi"/>
          <w:noProof/>
        </w:rPr>
      </w:pPr>
    </w:p>
    <w:p w14:paraId="79848179" w14:textId="369BBFD6" w:rsidR="00746261" w:rsidRDefault="002B2A4D" w:rsidP="002B2A4D">
      <w:pPr>
        <w:spacing w:after="0" w:line="240" w:lineRule="auto"/>
        <w:jc w:val="both"/>
        <w:rPr>
          <w:rFonts w:cstheme="minorHAnsi"/>
          <w:noProof/>
        </w:rPr>
      </w:pPr>
      <w:r w:rsidRPr="002B2A4D">
        <w:rPr>
          <w:rFonts w:cstheme="minorHAnsi"/>
          <w:noProof/>
        </w:rPr>
        <w:t xml:space="preserve">En gráficas seguidas, se presenta el comportamiento de la distribución de las primas por compañías de seguros generales y a su vez, se presenta la gráfica con el comportamiento siniestral acumulado del año de </w:t>
      </w:r>
      <w:r w:rsidR="00B26D1F">
        <w:rPr>
          <w:rFonts w:cstheme="minorHAnsi"/>
          <w:noProof/>
        </w:rPr>
        <w:t>diciembre</w:t>
      </w:r>
      <w:r w:rsidRPr="002B2A4D">
        <w:rPr>
          <w:rFonts w:cstheme="minorHAnsi"/>
          <w:noProof/>
        </w:rPr>
        <w:t xml:space="preserve"> de 2021 a </w:t>
      </w:r>
      <w:r w:rsidR="00B26D1F">
        <w:rPr>
          <w:rFonts w:cstheme="minorHAnsi"/>
          <w:noProof/>
        </w:rPr>
        <w:t>diciembre</w:t>
      </w:r>
      <w:r w:rsidR="00B26D1F" w:rsidRPr="002B2A4D">
        <w:rPr>
          <w:rFonts w:cstheme="minorHAnsi"/>
          <w:noProof/>
        </w:rPr>
        <w:t xml:space="preserve"> </w:t>
      </w:r>
      <w:r w:rsidRPr="002B2A4D">
        <w:rPr>
          <w:rFonts w:cstheme="minorHAnsi"/>
          <w:noProof/>
        </w:rPr>
        <w:t>de 2022, tanto de seguros generales como de los seguros de vida, cuyo comportamiento se incrementó para el año 2022</w:t>
      </w:r>
      <w:r w:rsidR="005E79FE">
        <w:rPr>
          <w:rStyle w:val="Refdenotaalpie"/>
          <w:rFonts w:cstheme="minorHAnsi"/>
          <w:noProof/>
        </w:rPr>
        <w:footnoteReference w:id="2"/>
      </w:r>
    </w:p>
    <w:p w14:paraId="0CD4BAC1" w14:textId="580D2500" w:rsidR="00746261" w:rsidRDefault="00746261" w:rsidP="002B2A4D">
      <w:pPr>
        <w:spacing w:after="0" w:line="240" w:lineRule="auto"/>
        <w:jc w:val="both"/>
        <w:rPr>
          <w:rFonts w:cstheme="minorHAnsi"/>
          <w:noProof/>
        </w:rPr>
      </w:pPr>
    </w:p>
    <w:p w14:paraId="47794B10" w14:textId="77777777" w:rsidR="00B26D1F" w:rsidRPr="008E1AA3" w:rsidRDefault="00B26D1F" w:rsidP="00B26D1F">
      <w:pPr>
        <w:spacing w:after="0" w:line="240" w:lineRule="auto"/>
        <w:jc w:val="both"/>
        <w:rPr>
          <w:rFonts w:cstheme="minorHAnsi"/>
          <w:b/>
          <w:bCs/>
        </w:rPr>
      </w:pPr>
      <w:r w:rsidRPr="008E1AA3">
        <w:rPr>
          <w:rFonts w:cstheme="minorHAnsi"/>
          <w:b/>
          <w:bCs/>
        </w:rPr>
        <w:t>SEGUROS GENERALES</w:t>
      </w:r>
    </w:p>
    <w:p w14:paraId="3A22676C" w14:textId="37DA778E" w:rsidR="00B26D1F" w:rsidRPr="00EC125D" w:rsidRDefault="00B26D1F" w:rsidP="00EC125D">
      <w:pPr>
        <w:autoSpaceDE w:val="0"/>
        <w:autoSpaceDN w:val="0"/>
        <w:adjustRightInd w:val="0"/>
        <w:spacing w:after="0" w:line="240" w:lineRule="auto"/>
        <w:jc w:val="center"/>
        <w:rPr>
          <w:rFonts w:eastAsia="Times New Roman" w:cstheme="minorHAnsi"/>
          <w:b/>
          <w:bCs/>
          <w:lang w:eastAsia="es-CO"/>
        </w:rPr>
      </w:pPr>
      <w:r w:rsidRPr="00EC125D">
        <w:rPr>
          <w:rFonts w:eastAsia="Times New Roman" w:cstheme="minorHAnsi"/>
          <w:b/>
          <w:bCs/>
          <w:lang w:eastAsia="es-CO"/>
        </w:rPr>
        <w:t>Ilustración 3: Seguros Generales</w:t>
      </w:r>
    </w:p>
    <w:p w14:paraId="449C070D" w14:textId="55A1B493" w:rsidR="00B26D1F" w:rsidRDefault="00DD4BE9" w:rsidP="00DD4BE9">
      <w:pPr>
        <w:spacing w:after="0" w:line="240" w:lineRule="auto"/>
        <w:jc w:val="center"/>
        <w:rPr>
          <w:rFonts w:cstheme="minorHAnsi"/>
        </w:rPr>
      </w:pPr>
      <w:r w:rsidRPr="00DD4BE9">
        <w:rPr>
          <w:rFonts w:cstheme="minorHAnsi"/>
          <w:noProof/>
        </w:rPr>
        <w:drawing>
          <wp:inline distT="0" distB="0" distL="0" distR="0" wp14:anchorId="37993EF3" wp14:editId="6C1C1437">
            <wp:extent cx="4443676" cy="250662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4008" cy="2529373"/>
                    </a:xfrm>
                    <a:prstGeom prst="rect">
                      <a:avLst/>
                    </a:prstGeom>
                  </pic:spPr>
                </pic:pic>
              </a:graphicData>
            </a:graphic>
          </wp:inline>
        </w:drawing>
      </w:r>
    </w:p>
    <w:p w14:paraId="5883BB9C" w14:textId="00CAE025" w:rsidR="00AD1D0C" w:rsidRPr="00AA22C2" w:rsidRDefault="00AD1D0C" w:rsidP="00AD1D0C">
      <w:pPr>
        <w:autoSpaceDE w:val="0"/>
        <w:autoSpaceDN w:val="0"/>
        <w:adjustRightInd w:val="0"/>
        <w:spacing w:after="0" w:line="240" w:lineRule="auto"/>
        <w:jc w:val="center"/>
        <w:rPr>
          <w:rFonts w:eastAsia="Times New Roman" w:cstheme="minorHAnsi"/>
          <w:b/>
          <w:bCs/>
          <w:sz w:val="16"/>
          <w:szCs w:val="16"/>
          <w:lang w:eastAsia="es-CO"/>
        </w:rPr>
      </w:pPr>
      <w:r w:rsidRPr="00AA22C2">
        <w:rPr>
          <w:rFonts w:eastAsia="Times New Roman" w:cstheme="minorHAnsi"/>
          <w:b/>
          <w:bCs/>
          <w:sz w:val="16"/>
          <w:szCs w:val="16"/>
          <w:lang w:eastAsia="es-CO"/>
        </w:rPr>
        <w:t xml:space="preserve">Fuente: </w:t>
      </w:r>
      <w:r w:rsidRPr="00AA22C2">
        <w:rPr>
          <w:rFonts w:eastAsia="Times New Roman" w:cstheme="minorHAnsi"/>
          <w:sz w:val="16"/>
          <w:szCs w:val="16"/>
          <w:lang w:eastAsia="es-CO"/>
        </w:rPr>
        <w:t xml:space="preserve">Resumen ejecutivo </w:t>
      </w:r>
      <w:r>
        <w:rPr>
          <w:rFonts w:eastAsia="Times New Roman" w:cstheme="minorHAnsi"/>
          <w:sz w:val="16"/>
          <w:szCs w:val="16"/>
          <w:lang w:eastAsia="es-CO"/>
        </w:rPr>
        <w:t>diciembre</w:t>
      </w:r>
      <w:r w:rsidRPr="00AA22C2">
        <w:rPr>
          <w:rFonts w:eastAsia="Times New Roman" w:cstheme="minorHAnsi"/>
          <w:sz w:val="16"/>
          <w:szCs w:val="16"/>
          <w:lang w:eastAsia="es-CO"/>
        </w:rPr>
        <w:t xml:space="preserve"> 2022 -Fasecolda</w:t>
      </w:r>
      <w:r w:rsidR="009C4424">
        <w:rPr>
          <w:rStyle w:val="Refdenotaalpie"/>
          <w:rFonts w:eastAsia="Times New Roman" w:cstheme="minorHAnsi"/>
          <w:sz w:val="16"/>
          <w:szCs w:val="16"/>
          <w:lang w:eastAsia="es-CO"/>
        </w:rPr>
        <w:footnoteReference w:id="3"/>
      </w:r>
    </w:p>
    <w:p w14:paraId="433FF37B" w14:textId="5C3649F6" w:rsidR="00483BDA" w:rsidRPr="00483BDA" w:rsidRDefault="00483BDA" w:rsidP="00483BDA">
      <w:pPr>
        <w:pStyle w:val="Estilo3"/>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lastRenderedPageBreak/>
        <w:t>RESUMEN DE LAS PRINCIPALES VARIABLES DEL SECTOR A DICIEMBRE DE 2022 (RAMOS GENERALES, VIDA Y CAPITALIZACIÓN):</w:t>
      </w:r>
    </w:p>
    <w:p w14:paraId="076C9080" w14:textId="25378323" w:rsidR="00483BDA" w:rsidRPr="00483BDA" w:rsidRDefault="00483BDA" w:rsidP="00483BDA">
      <w:pPr>
        <w:spacing w:after="0" w:line="240" w:lineRule="auto"/>
        <w:jc w:val="center"/>
        <w:rPr>
          <w:rFonts w:eastAsia="Calibri" w:cstheme="minorHAnsi"/>
          <w:color w:val="000000"/>
        </w:rPr>
      </w:pPr>
    </w:p>
    <w:p w14:paraId="6AF037AB" w14:textId="3A075534" w:rsidR="00483BDA" w:rsidRPr="00483BDA" w:rsidRDefault="00483BDA" w:rsidP="00483BDA">
      <w:pPr>
        <w:spacing w:after="0" w:line="240" w:lineRule="auto"/>
        <w:ind w:right="283"/>
        <w:jc w:val="both"/>
        <w:rPr>
          <w:rFonts w:eastAsia="ACaslonPro-Regular" w:cstheme="minorHAnsi"/>
        </w:rPr>
      </w:pPr>
      <w:r w:rsidRPr="00483BDA">
        <w:rPr>
          <w:rFonts w:eastAsia="ACaslonPro-Regular" w:cstheme="minorHAnsi"/>
        </w:rPr>
        <w:t xml:space="preserve">Ahora bien, la estadística siniestral que registra el programa de seguros de </w:t>
      </w:r>
      <w:r w:rsidRPr="00457E41">
        <w:rPr>
          <w:rFonts w:eastAsia="ACaslonPro-Regular" w:cstheme="minorHAnsi"/>
          <w:b/>
          <w:bCs/>
        </w:rPr>
        <w:t>Universidad Distrital Francisco José de Caldas</w:t>
      </w:r>
      <w:r w:rsidRPr="00483BDA">
        <w:rPr>
          <w:rFonts w:eastAsia="ACaslonPro-Regular" w:cstheme="minorHAnsi"/>
        </w:rPr>
        <w:t xml:space="preserve">, en especial en los seguros de daños, refleja un índice positivo, que incide en las decisiones de las aseguradoras en Colombia que respaldan esta clase de riesgos, en determinar su participación, y presentación de oferta en el proceso de selección pública que adelante </w:t>
      </w:r>
      <w:r w:rsidRPr="00457E41">
        <w:rPr>
          <w:rFonts w:eastAsia="ACaslonPro-Regular" w:cstheme="minorHAnsi"/>
          <w:b/>
          <w:bCs/>
        </w:rPr>
        <w:t>Universidad Distrital Francisco José de Caldas</w:t>
      </w:r>
      <w:r w:rsidRPr="00483BDA">
        <w:rPr>
          <w:rFonts w:eastAsia="ACaslonPro-Regular" w:cstheme="minorHAnsi"/>
        </w:rPr>
        <w:t xml:space="preserve">. Frente a la siniestralidad registrada podemos indicar que: </w:t>
      </w:r>
    </w:p>
    <w:p w14:paraId="7CC660B5" w14:textId="0BFA2839" w:rsidR="00483BDA" w:rsidRPr="00483BDA" w:rsidRDefault="00483BDA" w:rsidP="00483BDA">
      <w:pPr>
        <w:pStyle w:val="Estilo3"/>
        <w:jc w:val="center"/>
        <w:rPr>
          <w:rFonts w:asciiTheme="minorHAnsi" w:eastAsia="Calibri" w:hAnsiTheme="minorHAnsi" w:cstheme="minorHAnsi"/>
          <w:b/>
          <w:bCs/>
          <w:sz w:val="22"/>
          <w:szCs w:val="22"/>
        </w:rPr>
      </w:pPr>
    </w:p>
    <w:p w14:paraId="131575A1" w14:textId="4AC54985"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 xml:space="preserve">SINIESTROS PAGADOS VS PRIMAS EMITIDAS POR COMPAÑÍA DE SEGUROS </w:t>
      </w:r>
    </w:p>
    <w:p w14:paraId="394E4ED2" w14:textId="47BA2957" w:rsidR="00483BDA" w:rsidRPr="00483BDA" w:rsidRDefault="00483BDA" w:rsidP="00483BDA">
      <w:pPr>
        <w:pStyle w:val="Estilo3"/>
        <w:jc w:val="center"/>
        <w:rPr>
          <w:rFonts w:asciiTheme="minorHAnsi" w:eastAsia="Calibri" w:hAnsiTheme="minorHAnsi" w:cstheme="minorHAnsi"/>
          <w:b/>
          <w:bCs/>
          <w:sz w:val="22"/>
          <w:szCs w:val="22"/>
        </w:rPr>
      </w:pPr>
    </w:p>
    <w:p w14:paraId="0C32A403" w14:textId="0B1ABCC5"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COMPARATIVO POR RAMOS DE SEGUROS</w:t>
      </w:r>
    </w:p>
    <w:p w14:paraId="0DCAB2C7" w14:textId="44262CDF" w:rsidR="00483BDA" w:rsidRP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Comparativo diciembre-2021 vs diciembre-2022</w:t>
      </w:r>
    </w:p>
    <w:p w14:paraId="34392BCC" w14:textId="40CA29ED" w:rsidR="00483BDA" w:rsidRDefault="00483BDA" w:rsidP="00483BDA">
      <w:pPr>
        <w:pStyle w:val="Estilo3"/>
        <w:jc w:val="center"/>
        <w:rPr>
          <w:rFonts w:asciiTheme="minorHAnsi" w:eastAsia="Calibri" w:hAnsiTheme="minorHAnsi" w:cstheme="minorHAnsi"/>
          <w:b/>
          <w:bCs/>
          <w:sz w:val="22"/>
          <w:szCs w:val="22"/>
        </w:rPr>
      </w:pPr>
      <w:r w:rsidRPr="00483BDA">
        <w:rPr>
          <w:rFonts w:asciiTheme="minorHAnsi" w:eastAsia="Calibri" w:hAnsiTheme="minorHAnsi" w:cstheme="minorHAnsi"/>
          <w:b/>
          <w:bCs/>
          <w:sz w:val="22"/>
          <w:szCs w:val="22"/>
        </w:rPr>
        <w:t>(millones de pesos)</w:t>
      </w:r>
    </w:p>
    <w:p w14:paraId="57EC67A3" w14:textId="109E0713" w:rsidR="00340E0D" w:rsidRPr="00483BDA" w:rsidRDefault="00340E0D" w:rsidP="00483BDA">
      <w:pPr>
        <w:pStyle w:val="Estilo3"/>
        <w:jc w:val="center"/>
        <w:rPr>
          <w:rFonts w:asciiTheme="minorHAnsi" w:eastAsia="Calibri" w:hAnsiTheme="minorHAnsi" w:cstheme="minorHAnsi"/>
          <w:b/>
          <w:bCs/>
          <w:sz w:val="22"/>
          <w:szCs w:val="22"/>
        </w:rPr>
      </w:pPr>
    </w:p>
    <w:p w14:paraId="37669358" w14:textId="71F3A17C" w:rsidR="00483BDA" w:rsidRPr="00483BDA" w:rsidRDefault="00C173C6" w:rsidP="00483BDA">
      <w:pPr>
        <w:pStyle w:val="Descripcin"/>
        <w:jc w:val="center"/>
        <w:rPr>
          <w:rFonts w:asciiTheme="minorHAnsi" w:hAnsiTheme="minorHAnsi" w:cstheme="minorHAnsi"/>
          <w:sz w:val="22"/>
          <w:szCs w:val="22"/>
        </w:rPr>
      </w:pPr>
      <w:r w:rsidRPr="00483BDA">
        <w:rPr>
          <w:rFonts w:cstheme="minorHAnsi"/>
          <w:noProof/>
        </w:rPr>
        <w:drawing>
          <wp:anchor distT="0" distB="0" distL="114300" distR="114300" simplePos="0" relativeHeight="251655168" behindDoc="0" locked="0" layoutInCell="1" allowOverlap="1" wp14:anchorId="1A3AC1E4" wp14:editId="58A45F3E">
            <wp:simplePos x="0" y="0"/>
            <wp:positionH relativeFrom="column">
              <wp:posOffset>777875</wp:posOffset>
            </wp:positionH>
            <wp:positionV relativeFrom="paragraph">
              <wp:posOffset>235255</wp:posOffset>
            </wp:positionV>
            <wp:extent cx="3987165" cy="475170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7518" r="8949"/>
                    <a:stretch>
                      <a:fillRect/>
                    </a:stretch>
                  </pic:blipFill>
                  <pic:spPr bwMode="auto">
                    <a:xfrm>
                      <a:off x="0" y="0"/>
                      <a:ext cx="3987165" cy="475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BDA" w:rsidRPr="00483BDA">
        <w:rPr>
          <w:rFonts w:asciiTheme="minorHAnsi" w:hAnsiTheme="minorHAnsi" w:cstheme="minorHAnsi"/>
          <w:sz w:val="22"/>
          <w:szCs w:val="22"/>
        </w:rPr>
        <w:t xml:space="preserve">Ilustración </w:t>
      </w:r>
      <w:r w:rsidR="00483BDA" w:rsidRPr="00483BDA">
        <w:rPr>
          <w:rFonts w:asciiTheme="minorHAnsi" w:hAnsiTheme="minorHAnsi" w:cstheme="minorHAnsi"/>
          <w:sz w:val="22"/>
          <w:szCs w:val="22"/>
        </w:rPr>
        <w:fldChar w:fldCharType="begin"/>
      </w:r>
      <w:r w:rsidR="00483BDA" w:rsidRPr="00483BDA">
        <w:rPr>
          <w:rFonts w:asciiTheme="minorHAnsi" w:hAnsiTheme="minorHAnsi" w:cstheme="minorHAnsi"/>
          <w:sz w:val="22"/>
          <w:szCs w:val="22"/>
        </w:rPr>
        <w:instrText xml:space="preserve"> SEQ Ilustración \* ARABIC </w:instrText>
      </w:r>
      <w:r w:rsidR="00483BDA" w:rsidRPr="00483BDA">
        <w:rPr>
          <w:rFonts w:asciiTheme="minorHAnsi" w:hAnsiTheme="minorHAnsi" w:cstheme="minorHAnsi"/>
          <w:sz w:val="22"/>
          <w:szCs w:val="22"/>
        </w:rPr>
        <w:fldChar w:fldCharType="separate"/>
      </w:r>
      <w:r w:rsidR="00483BDA" w:rsidRPr="00483BDA">
        <w:rPr>
          <w:rFonts w:asciiTheme="minorHAnsi" w:hAnsiTheme="minorHAnsi" w:cstheme="minorHAnsi"/>
          <w:noProof/>
          <w:sz w:val="22"/>
          <w:szCs w:val="22"/>
        </w:rPr>
        <w:t>4</w:t>
      </w:r>
      <w:r w:rsidR="00483BDA" w:rsidRPr="00483BDA">
        <w:rPr>
          <w:rFonts w:asciiTheme="minorHAnsi" w:hAnsiTheme="minorHAnsi" w:cstheme="minorHAnsi"/>
          <w:sz w:val="22"/>
          <w:szCs w:val="22"/>
        </w:rPr>
        <w:fldChar w:fldCharType="end"/>
      </w:r>
      <w:r w:rsidR="00483BDA" w:rsidRPr="00483BDA">
        <w:rPr>
          <w:rFonts w:asciiTheme="minorHAnsi" w:hAnsiTheme="minorHAnsi" w:cstheme="minorHAnsi"/>
          <w:sz w:val="22"/>
          <w:szCs w:val="22"/>
        </w:rPr>
        <w:t>: Seguros de daños</w:t>
      </w:r>
    </w:p>
    <w:p w14:paraId="752F77B3" w14:textId="1006DA5B"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4"/>
      </w:r>
    </w:p>
    <w:p w14:paraId="0E4BBA0B" w14:textId="77777777" w:rsidR="00483BDA" w:rsidRPr="00483BDA" w:rsidRDefault="00483BDA" w:rsidP="00483BDA">
      <w:pPr>
        <w:spacing w:after="0" w:line="240" w:lineRule="auto"/>
        <w:jc w:val="both"/>
        <w:rPr>
          <w:rFonts w:eastAsia="ACaslonPro-Regular" w:cstheme="minorHAnsi"/>
          <w:b/>
        </w:rPr>
      </w:pPr>
      <w:r w:rsidRPr="00483BDA">
        <w:rPr>
          <w:rFonts w:eastAsia="ACaslonPro-Regular" w:cstheme="minorHAnsi"/>
        </w:rPr>
        <w:lastRenderedPageBreak/>
        <w:t xml:space="preserve">En el comparativo anterior de los </w:t>
      </w:r>
      <w:bookmarkStart w:id="0" w:name="_Hlk57207477"/>
      <w:r w:rsidRPr="00483BDA">
        <w:rPr>
          <w:rFonts w:eastAsia="ACaslonPro-Regular" w:cstheme="minorHAnsi"/>
        </w:rPr>
        <w:t>seguros de daños, se refleja</w:t>
      </w:r>
      <w:r w:rsidRPr="00483BDA">
        <w:rPr>
          <w:rFonts w:eastAsia="ACaslonPro-Regular" w:cstheme="minorHAnsi"/>
          <w:b/>
        </w:rPr>
        <w:t xml:space="preserve"> </w:t>
      </w:r>
      <w:r w:rsidRPr="00483BDA">
        <w:rPr>
          <w:rFonts w:eastAsia="ACaslonPro-Regular" w:cstheme="minorHAnsi"/>
        </w:rPr>
        <w:t>un incremento de primas frente al año 2021 del 21.2%, así mismo, los siniestros pagados tuvieron un incremento frente al año 2021 del 48%</w:t>
      </w:r>
    </w:p>
    <w:bookmarkEnd w:id="0"/>
    <w:p w14:paraId="0A2CEA6D" w14:textId="77777777" w:rsidR="00483BDA" w:rsidRPr="00483BDA" w:rsidRDefault="00483BDA" w:rsidP="00483BDA">
      <w:pPr>
        <w:spacing w:after="0" w:line="240" w:lineRule="auto"/>
        <w:jc w:val="both"/>
        <w:rPr>
          <w:rFonts w:eastAsia="ACaslonPro-Regular" w:cstheme="minorHAnsi"/>
          <w:b/>
        </w:rPr>
      </w:pPr>
    </w:p>
    <w:p w14:paraId="782A1470" w14:textId="77777777" w:rsidR="00483BDA" w:rsidRPr="00483BDA" w:rsidRDefault="00483BDA" w:rsidP="00483BDA">
      <w:pPr>
        <w:spacing w:after="0" w:line="240" w:lineRule="auto"/>
        <w:jc w:val="both"/>
        <w:rPr>
          <w:rFonts w:eastAsia="ACaslonPro-Regular" w:cstheme="minorHAnsi"/>
        </w:rPr>
      </w:pPr>
      <w:r w:rsidRPr="00483BDA">
        <w:rPr>
          <w:rFonts w:eastAsia="ACaslonPro-Regular" w:cstheme="minorHAnsi"/>
        </w:rPr>
        <w:t>De otra parte, en los seguros de personas, se refleja</w:t>
      </w:r>
      <w:r w:rsidRPr="00483BDA">
        <w:rPr>
          <w:rFonts w:eastAsia="ACaslonPro-Regular" w:cstheme="minorHAnsi"/>
          <w:b/>
        </w:rPr>
        <w:t xml:space="preserve"> </w:t>
      </w:r>
      <w:r w:rsidRPr="00483BDA">
        <w:rPr>
          <w:rFonts w:eastAsia="ACaslonPro-Regular" w:cstheme="minorHAnsi"/>
        </w:rPr>
        <w:t>un incremento de primas frente al año 2021 del 18%, y a su vez los siniestros pagados tuvieron una reducción considerable frente al año 2021 del -14.4%</w:t>
      </w:r>
    </w:p>
    <w:p w14:paraId="015EF96A" w14:textId="77777777" w:rsidR="00483BDA" w:rsidRPr="00483BDA" w:rsidRDefault="00483BDA" w:rsidP="00483BDA">
      <w:pPr>
        <w:autoSpaceDE w:val="0"/>
        <w:autoSpaceDN w:val="0"/>
        <w:adjustRightInd w:val="0"/>
        <w:spacing w:after="0" w:line="240" w:lineRule="auto"/>
        <w:rPr>
          <w:rFonts w:eastAsia="Calibri" w:cstheme="minorHAnsi"/>
          <w:b/>
          <w:bCs/>
        </w:rPr>
      </w:pPr>
    </w:p>
    <w:p w14:paraId="3392FA33"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Calibri" w:cstheme="minorHAnsi"/>
          <w:b/>
          <w:bCs/>
        </w:rPr>
        <w:t xml:space="preserve">PRIMAS EMITIDAS – </w:t>
      </w:r>
      <w:r w:rsidRPr="00483BDA">
        <w:rPr>
          <w:rFonts w:eastAsia="Calibri" w:cstheme="minorHAnsi"/>
        </w:rPr>
        <w:t xml:space="preserve">Para el 2022 el mercado asegurador emitió primas por un total de $47.3 billones, lo que representa un crecimiento del 33.9% con respecto al 2021. Si se descuenta la producción de </w:t>
      </w:r>
      <w:proofErr w:type="spellStart"/>
      <w:r w:rsidRPr="00483BDA">
        <w:rPr>
          <w:rFonts w:eastAsia="Calibri" w:cstheme="minorHAnsi"/>
        </w:rPr>
        <w:t>Asulado</w:t>
      </w:r>
      <w:proofErr w:type="spellEnd"/>
      <w:r w:rsidRPr="00483BDA">
        <w:rPr>
          <w:rFonts w:eastAsia="Calibri" w:cstheme="minorHAnsi"/>
        </w:rPr>
        <w:t>, el crecimiento total de la industria sería del 20%.</w:t>
      </w:r>
    </w:p>
    <w:p w14:paraId="28955431" w14:textId="77777777" w:rsidR="00483BDA" w:rsidRPr="00483BDA" w:rsidRDefault="00483BDA" w:rsidP="00483BDA">
      <w:pPr>
        <w:spacing w:after="0" w:line="240" w:lineRule="auto"/>
        <w:jc w:val="both"/>
        <w:rPr>
          <w:rFonts w:eastAsia="ACaslonPro-Regular" w:cstheme="minorHAnsi"/>
          <w:b/>
        </w:rPr>
      </w:pPr>
    </w:p>
    <w:p w14:paraId="03CB9CBB" w14:textId="77777777" w:rsidR="00483BDA" w:rsidRPr="00483BDA" w:rsidRDefault="00483BDA" w:rsidP="00483BDA">
      <w:pPr>
        <w:pStyle w:val="Descripcin"/>
        <w:jc w:val="center"/>
        <w:rPr>
          <w:rFonts w:asciiTheme="minorHAnsi" w:eastAsia="ACaslonPro-Regular" w:hAnsiTheme="minorHAnsi" w:cstheme="minorHAnsi"/>
          <w:b w:val="0"/>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5</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Comportamiento de las primas emitidas</w:t>
      </w:r>
    </w:p>
    <w:p w14:paraId="35486140" w14:textId="77777777" w:rsidR="00483BDA" w:rsidRPr="00483BDA" w:rsidRDefault="00483BDA" w:rsidP="00483BDA">
      <w:pPr>
        <w:spacing w:after="0" w:line="240" w:lineRule="auto"/>
        <w:jc w:val="center"/>
        <w:rPr>
          <w:rFonts w:cstheme="minorHAnsi"/>
          <w:noProof/>
        </w:rPr>
      </w:pPr>
    </w:p>
    <w:p w14:paraId="34C7B5FF" w14:textId="05466708" w:rsidR="00483BDA" w:rsidRPr="00483BDA" w:rsidRDefault="00483BDA" w:rsidP="00483BDA">
      <w:pPr>
        <w:spacing w:after="0" w:line="240" w:lineRule="auto"/>
        <w:jc w:val="center"/>
        <w:rPr>
          <w:rFonts w:cstheme="minorHAnsi"/>
          <w:noProof/>
        </w:rPr>
      </w:pPr>
      <w:r w:rsidRPr="00483BDA">
        <w:rPr>
          <w:rFonts w:cstheme="minorHAnsi"/>
          <w:noProof/>
        </w:rPr>
        <w:drawing>
          <wp:inline distT="0" distB="0" distL="0" distR="0" wp14:anchorId="5FFA1AAD" wp14:editId="34E6A9B0">
            <wp:extent cx="5400040" cy="14230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423035"/>
                    </a:xfrm>
                    <a:prstGeom prst="rect">
                      <a:avLst/>
                    </a:prstGeom>
                    <a:noFill/>
                    <a:ln>
                      <a:noFill/>
                    </a:ln>
                  </pic:spPr>
                </pic:pic>
              </a:graphicData>
            </a:graphic>
          </wp:inline>
        </w:drawing>
      </w:r>
    </w:p>
    <w:p w14:paraId="6C9DBC62" w14:textId="77777777"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 xml:space="preserve">Fuente: </w:t>
      </w:r>
      <w:r w:rsidRPr="004B0C8E">
        <w:rPr>
          <w:rFonts w:cstheme="minorHAnsi"/>
          <w:sz w:val="16"/>
          <w:szCs w:val="16"/>
        </w:rPr>
        <w:t>Resumen ejecutivo diciembre 2022 -Fasecolda</w:t>
      </w:r>
      <w:r w:rsidRPr="004B0C8E">
        <w:rPr>
          <w:rFonts w:cstheme="minorHAnsi"/>
          <w:sz w:val="16"/>
          <w:szCs w:val="16"/>
          <w:vertAlign w:val="superscript"/>
        </w:rPr>
        <w:footnoteReference w:id="5"/>
      </w:r>
    </w:p>
    <w:p w14:paraId="7A50DB65" w14:textId="1B0209FD" w:rsidR="00483BDA" w:rsidRDefault="00483BDA" w:rsidP="00483BDA">
      <w:pPr>
        <w:spacing w:after="0" w:line="240" w:lineRule="auto"/>
        <w:jc w:val="both"/>
        <w:rPr>
          <w:rFonts w:eastAsia="ACaslonPro-Regular" w:cstheme="minorHAnsi"/>
          <w:b/>
        </w:rPr>
      </w:pPr>
    </w:p>
    <w:p w14:paraId="38460082" w14:textId="77777777" w:rsidR="00E57D49" w:rsidRPr="00483BDA" w:rsidRDefault="00E57D49" w:rsidP="00483BDA">
      <w:pPr>
        <w:spacing w:after="0" w:line="240" w:lineRule="auto"/>
        <w:jc w:val="both"/>
        <w:rPr>
          <w:rFonts w:eastAsia="ACaslonPro-Regular" w:cstheme="minorHAnsi"/>
          <w:b/>
        </w:rPr>
      </w:pPr>
    </w:p>
    <w:p w14:paraId="0AFDA78F" w14:textId="2080C034" w:rsid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Al actualizar los valores con el índice de precios al consumidor (5.62% para el año 2021 y 13.12% para el año 2022), encontramos que el crecimiento real de la industria para estos dos años fue de 9.7% y 18.4% respectivamente. Sin las primas de Rentas Vitalicias, ingresadas en el mes de diciembre, el crecimiento real sería del 5.9%.</w:t>
      </w:r>
      <w:r w:rsidRPr="00483BDA">
        <w:rPr>
          <w:rFonts w:eastAsia="Calibri" w:cstheme="minorHAnsi"/>
        </w:rPr>
        <w:cr/>
      </w:r>
    </w:p>
    <w:p w14:paraId="065A5F90" w14:textId="77777777" w:rsidR="006A785A" w:rsidRPr="00483BDA" w:rsidRDefault="006A785A" w:rsidP="00483BDA">
      <w:pPr>
        <w:autoSpaceDE w:val="0"/>
        <w:autoSpaceDN w:val="0"/>
        <w:adjustRightInd w:val="0"/>
        <w:spacing w:after="0" w:line="240" w:lineRule="auto"/>
        <w:jc w:val="both"/>
        <w:rPr>
          <w:rFonts w:eastAsia="Calibri" w:cstheme="minorHAnsi"/>
          <w:b/>
          <w:bCs/>
          <w:color w:val="000000"/>
        </w:rPr>
      </w:pPr>
    </w:p>
    <w:p w14:paraId="4011C1C9" w14:textId="77777777" w:rsidR="00483BDA" w:rsidRPr="006A785A" w:rsidRDefault="00483BDA" w:rsidP="006A785A">
      <w:pPr>
        <w:spacing w:after="0" w:line="240" w:lineRule="auto"/>
        <w:rPr>
          <w:b/>
          <w:bCs/>
        </w:rPr>
      </w:pPr>
      <w:r w:rsidRPr="006A785A">
        <w:rPr>
          <w:b/>
          <w:bCs/>
        </w:rPr>
        <w:t>COMPORTAMIENTO POR RAMOS DE SEGUROS</w:t>
      </w:r>
    </w:p>
    <w:p w14:paraId="044415A3" w14:textId="77777777" w:rsidR="00483BDA" w:rsidRPr="00483BDA" w:rsidRDefault="00483BDA" w:rsidP="006A785A">
      <w:pPr>
        <w:spacing w:after="0" w:line="240" w:lineRule="auto"/>
        <w:rPr>
          <w:rFonts w:eastAsia="Calibri" w:cstheme="minorHAnsi"/>
        </w:rPr>
      </w:pPr>
    </w:p>
    <w:p w14:paraId="42FECAFB" w14:textId="77777777" w:rsidR="00483BDA" w:rsidRPr="00483BDA" w:rsidRDefault="00483BDA" w:rsidP="00483BDA">
      <w:pPr>
        <w:spacing w:after="0" w:line="240" w:lineRule="auto"/>
        <w:rPr>
          <w:rFonts w:eastAsia="Calibri" w:cstheme="minorHAnsi"/>
          <w:b/>
          <w:bCs/>
        </w:rPr>
      </w:pPr>
      <w:r w:rsidRPr="00483BDA">
        <w:rPr>
          <w:rFonts w:eastAsia="Calibri" w:cstheme="minorHAnsi"/>
          <w:b/>
          <w:bCs/>
        </w:rPr>
        <w:t>RAMOS DE DAÑOS</w:t>
      </w:r>
    </w:p>
    <w:p w14:paraId="43BDE4F0" w14:textId="77777777" w:rsidR="00483BDA" w:rsidRPr="00483BDA" w:rsidRDefault="00483BDA" w:rsidP="00483BDA">
      <w:pPr>
        <w:autoSpaceDE w:val="0"/>
        <w:autoSpaceDN w:val="0"/>
        <w:adjustRightInd w:val="0"/>
        <w:spacing w:after="0" w:line="240" w:lineRule="auto"/>
        <w:rPr>
          <w:rFonts w:eastAsia="Calibri" w:cstheme="minorHAnsi"/>
          <w:color w:val="000000"/>
        </w:rPr>
      </w:pPr>
    </w:p>
    <w:p w14:paraId="67049849"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Al cierre del 2022 los ramos de daños tuvieron una producción de $15.8 billones, lo que representa un crecimiento del 21% con relación al año anterior, siendo este el segundo grupo con mayor aporte al crecimiento total de la industria (23%).</w:t>
      </w:r>
    </w:p>
    <w:p w14:paraId="36532533"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2EC6F8F5"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Automóviles:</w:t>
      </w:r>
    </w:p>
    <w:p w14:paraId="2249AA45"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7F15D5AE"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Este ramo, el cual tuvo el crecimiento más grande dentro del grupo de daños, tuvo un total de $5.03 billones en primas, monto que superó en $1.17 billones (30%) a las primas del 2021. Factores como el aumento en un 29.9% en el valor de la prima promedio y el crecimiento en un 17.9% en el número de vehículos asegurados explican el comportamiento de este ramo.</w:t>
      </w:r>
    </w:p>
    <w:p w14:paraId="03B37265"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16383BAD"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lastRenderedPageBreak/>
        <w:t>Es importante señalar que, de acuerdo con las cifras de Andemos, para el año de análisis, la venta de vehículos nuevos fue superior en un 4.8% a la del mismo período del año anterior.</w:t>
      </w:r>
      <w:r w:rsidRPr="00483BDA">
        <w:rPr>
          <w:rFonts w:eastAsia="Calibri" w:cstheme="minorHAnsi"/>
          <w:color w:val="000000"/>
        </w:rPr>
        <w:cr/>
      </w:r>
    </w:p>
    <w:p w14:paraId="2DF2DC32" w14:textId="49F1943C"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Incendio y aliadas:</w:t>
      </w:r>
    </w:p>
    <w:p w14:paraId="58F64846"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7B3F84A9"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Los ramos de Incendio, Lucro Cesante y Terremoto, que conforman este grupo, tuvieron un crecimiento agregado del 16.2%, comportamiento que se explica en gran medida por la dinámica de la cartera de crédito hipotecario, la cual, al mes de noviembre de 2022, tuvieron un incremento del 14.9%.</w:t>
      </w:r>
    </w:p>
    <w:p w14:paraId="4ED1426D"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4CEE3354"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Cumplimiento:</w:t>
      </w:r>
    </w:p>
    <w:p w14:paraId="6933EE49"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08495F62"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En el ramo de cumplimiento, se destacan las pólizas de particulares que representan el 37.2% del total del ramo, seguidas por las estatales con el 37.1% y arrendamiento con el 16.7%, en todos los casos se observa que la variación en el número de pólizas y los valores asegurados es inferior al comportamiento de las primas, por lo que se concluye que la dinámica del ramo se debe al incremento de las tarifas.</w:t>
      </w:r>
    </w:p>
    <w:p w14:paraId="1E02F96A" w14:textId="77777777" w:rsidR="009E7394" w:rsidRDefault="009E7394" w:rsidP="00483BDA">
      <w:pPr>
        <w:autoSpaceDE w:val="0"/>
        <w:autoSpaceDN w:val="0"/>
        <w:adjustRightInd w:val="0"/>
        <w:spacing w:after="0" w:line="240" w:lineRule="auto"/>
        <w:jc w:val="both"/>
        <w:rPr>
          <w:rFonts w:eastAsia="Calibri" w:cstheme="minorHAnsi"/>
          <w:color w:val="000000"/>
        </w:rPr>
      </w:pPr>
    </w:p>
    <w:p w14:paraId="01DCE58F" w14:textId="36EC303A"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Es de anotar que, de conformidad con los datos de Colombia Compra Eficiente (Secop II), la contratación estatal disminuyó en un 13,1% entre 2021 y 2022.</w:t>
      </w:r>
    </w:p>
    <w:p w14:paraId="125F3FD9"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rPr>
      </w:pPr>
    </w:p>
    <w:p w14:paraId="6EA33F92"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r w:rsidRPr="00483BDA">
        <w:rPr>
          <w:rFonts w:eastAsia="Calibri" w:cstheme="minorHAnsi"/>
          <w:b/>
          <w:bCs/>
          <w:color w:val="000000"/>
          <w:u w:val="single"/>
        </w:rPr>
        <w:t>Responsabilidad Civil:</w:t>
      </w:r>
    </w:p>
    <w:p w14:paraId="07CAC5BE" w14:textId="77777777" w:rsidR="00483BDA" w:rsidRPr="00483BDA" w:rsidRDefault="00483BDA" w:rsidP="00483BDA">
      <w:pPr>
        <w:autoSpaceDE w:val="0"/>
        <w:autoSpaceDN w:val="0"/>
        <w:adjustRightInd w:val="0"/>
        <w:spacing w:after="0" w:line="240" w:lineRule="auto"/>
        <w:jc w:val="both"/>
        <w:rPr>
          <w:rFonts w:eastAsia="Calibri" w:cstheme="minorHAnsi"/>
          <w:b/>
          <w:bCs/>
          <w:color w:val="000000"/>
          <w:u w:val="single"/>
        </w:rPr>
      </w:pPr>
    </w:p>
    <w:p w14:paraId="0910CDB0"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r w:rsidRPr="00483BDA">
        <w:rPr>
          <w:rFonts w:eastAsia="Calibri" w:cstheme="minorHAnsi"/>
          <w:color w:val="000000"/>
        </w:rPr>
        <w:t>El crecimiento del 22.4% en las primas del ramo se explica en buena medida por el aumento del 111% en los valores asegurados, de acuerdo con los datos reportados en el formato 290.</w:t>
      </w:r>
    </w:p>
    <w:p w14:paraId="64AF8D3C" w14:textId="77777777" w:rsidR="00483BDA" w:rsidRPr="00483BDA" w:rsidRDefault="00483BDA" w:rsidP="00483BDA">
      <w:pPr>
        <w:autoSpaceDE w:val="0"/>
        <w:autoSpaceDN w:val="0"/>
        <w:adjustRightInd w:val="0"/>
        <w:spacing w:after="0" w:line="240" w:lineRule="auto"/>
        <w:jc w:val="both"/>
        <w:rPr>
          <w:rFonts w:eastAsia="Calibri" w:cstheme="minorHAnsi"/>
          <w:color w:val="000000"/>
        </w:rPr>
      </w:pPr>
    </w:p>
    <w:p w14:paraId="3DCA2EC2" w14:textId="77777777"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6</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Comportamiento de los ramos de daños</w:t>
      </w:r>
    </w:p>
    <w:p w14:paraId="10709AE7" w14:textId="77777777" w:rsidR="00483BDA" w:rsidRPr="00483BDA" w:rsidRDefault="00483BDA" w:rsidP="00483BDA">
      <w:pPr>
        <w:pStyle w:val="Descripcin"/>
        <w:jc w:val="center"/>
        <w:rPr>
          <w:rFonts w:asciiTheme="minorHAnsi" w:hAnsiTheme="minorHAnsi" w:cstheme="minorHAnsi"/>
          <w:sz w:val="22"/>
          <w:szCs w:val="22"/>
        </w:rPr>
      </w:pPr>
    </w:p>
    <w:p w14:paraId="704DD84B" w14:textId="19EC5A8F" w:rsidR="00483BDA" w:rsidRPr="004B0C8E" w:rsidRDefault="00483BDA" w:rsidP="005216EF">
      <w:pPr>
        <w:spacing w:after="0" w:line="240" w:lineRule="auto"/>
        <w:jc w:val="center"/>
        <w:rPr>
          <w:rFonts w:cstheme="minorHAnsi"/>
          <w:sz w:val="16"/>
          <w:szCs w:val="16"/>
        </w:rPr>
      </w:pPr>
      <w:r w:rsidRPr="00483BDA">
        <w:rPr>
          <w:rFonts w:cstheme="minorHAnsi"/>
          <w:noProof/>
        </w:rPr>
        <w:drawing>
          <wp:anchor distT="0" distB="0" distL="114300" distR="114300" simplePos="0" relativeHeight="251656192" behindDoc="0" locked="0" layoutInCell="1" allowOverlap="1" wp14:anchorId="5B2CFB9A" wp14:editId="10088873">
            <wp:simplePos x="0" y="0"/>
            <wp:positionH relativeFrom="column">
              <wp:align>center</wp:align>
            </wp:positionH>
            <wp:positionV relativeFrom="paragraph">
              <wp:posOffset>0</wp:posOffset>
            </wp:positionV>
            <wp:extent cx="5316888" cy="31680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888" cy="3168000"/>
                    </a:xfrm>
                    <a:prstGeom prst="rect">
                      <a:avLst/>
                    </a:prstGeom>
                    <a:noFill/>
                  </pic:spPr>
                </pic:pic>
              </a:graphicData>
            </a:graphic>
            <wp14:sizeRelH relativeFrom="page">
              <wp14:pctWidth>0</wp14:pctWidth>
            </wp14:sizeRelH>
            <wp14:sizeRelV relativeFrom="page">
              <wp14:pctHeight>0</wp14:pctHeight>
            </wp14:sizeRelV>
          </wp:anchor>
        </w:drawing>
      </w: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6"/>
      </w:r>
    </w:p>
    <w:p w14:paraId="5804205F" w14:textId="2E9D6479" w:rsidR="00483BDA" w:rsidRPr="00483BDA" w:rsidRDefault="00483BDA" w:rsidP="00483BDA">
      <w:pPr>
        <w:pStyle w:val="Descripcin"/>
        <w:rPr>
          <w:rFonts w:asciiTheme="minorHAnsi" w:eastAsia="Calibri" w:hAnsiTheme="minorHAnsi" w:cstheme="minorHAnsi"/>
          <w:sz w:val="22"/>
          <w:szCs w:val="22"/>
        </w:rPr>
      </w:pPr>
      <w:r w:rsidRPr="00483BDA">
        <w:rPr>
          <w:rFonts w:asciiTheme="minorHAnsi" w:eastAsia="Calibri" w:hAnsiTheme="minorHAnsi" w:cstheme="minorHAnsi"/>
          <w:sz w:val="22"/>
          <w:szCs w:val="22"/>
        </w:rPr>
        <w:lastRenderedPageBreak/>
        <w:t>SINIESTROS PAGADOS Y VALORES RECONOCIDOS:</w:t>
      </w:r>
    </w:p>
    <w:p w14:paraId="315AB634" w14:textId="77777777" w:rsidR="00483BDA" w:rsidRPr="00483BDA" w:rsidRDefault="00483BDA" w:rsidP="00483BDA">
      <w:pPr>
        <w:autoSpaceDE w:val="0"/>
        <w:autoSpaceDN w:val="0"/>
        <w:adjustRightInd w:val="0"/>
        <w:spacing w:after="0" w:line="240" w:lineRule="auto"/>
        <w:jc w:val="both"/>
        <w:rPr>
          <w:rFonts w:eastAsia="Calibri" w:cstheme="minorHAnsi"/>
          <w:b/>
          <w:bCs/>
        </w:rPr>
      </w:pPr>
    </w:p>
    <w:p w14:paraId="000CACA1" w14:textId="599D1282" w:rsidR="00483BDA" w:rsidRP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 xml:space="preserve">Durante el año 2022, la industria aseguradora pagó $21.32 billones por concepto de reclamaciones, es decir, $2.1 billones más con relación al mismo período del año anterior. Del total de estos pagos, destacan los ramos de Automóviles, por el alto costo de los repuestos automotores, </w:t>
      </w:r>
      <w:r w:rsidR="009E7394" w:rsidRPr="00483BDA">
        <w:rPr>
          <w:rFonts w:eastAsia="Calibri" w:cstheme="minorHAnsi"/>
        </w:rPr>
        <w:t xml:space="preserve">SOAT </w:t>
      </w:r>
      <w:r w:rsidRPr="00483BDA">
        <w:rPr>
          <w:rFonts w:eastAsia="Calibri" w:cstheme="minorHAnsi"/>
        </w:rPr>
        <w:t>por la alta siniestralidad y problemas de fraude en el ramo, y Todo Riesgo Contratista en donde figuran los últimos pagos realizados por el siniestro de Hidroituango.</w:t>
      </w:r>
    </w:p>
    <w:p w14:paraId="014757C3" w14:textId="77777777" w:rsidR="00483BDA" w:rsidRPr="00483BDA" w:rsidRDefault="00483BDA" w:rsidP="00483BDA">
      <w:pPr>
        <w:autoSpaceDE w:val="0"/>
        <w:autoSpaceDN w:val="0"/>
        <w:adjustRightInd w:val="0"/>
        <w:spacing w:after="0" w:line="240" w:lineRule="auto"/>
        <w:jc w:val="both"/>
        <w:rPr>
          <w:rFonts w:eastAsia="Calibri" w:cstheme="minorHAnsi"/>
        </w:rPr>
      </w:pPr>
    </w:p>
    <w:p w14:paraId="28FE7AF5" w14:textId="77777777" w:rsidR="00483BDA" w:rsidRPr="00483BDA" w:rsidRDefault="00483BDA" w:rsidP="00483BDA">
      <w:pPr>
        <w:autoSpaceDE w:val="0"/>
        <w:autoSpaceDN w:val="0"/>
        <w:adjustRightInd w:val="0"/>
        <w:spacing w:after="0" w:line="240" w:lineRule="auto"/>
        <w:jc w:val="both"/>
        <w:rPr>
          <w:rFonts w:eastAsia="Calibri" w:cstheme="minorHAnsi"/>
        </w:rPr>
      </w:pPr>
      <w:r w:rsidRPr="00483BDA">
        <w:rPr>
          <w:rFonts w:eastAsia="Calibri" w:cstheme="minorHAnsi"/>
        </w:rPr>
        <w:t>Los valores reconocidos a los suscriptores de los títulos de capitalización alcanzaron la suma de $135 mil millones, es decir, un 32% menos que para el 2021.</w:t>
      </w:r>
    </w:p>
    <w:p w14:paraId="68AC2D75" w14:textId="77777777" w:rsidR="00483BDA" w:rsidRPr="00483BDA" w:rsidRDefault="00483BDA" w:rsidP="00483BDA">
      <w:pPr>
        <w:autoSpaceDE w:val="0"/>
        <w:autoSpaceDN w:val="0"/>
        <w:adjustRightInd w:val="0"/>
        <w:spacing w:after="0" w:line="240" w:lineRule="auto"/>
        <w:jc w:val="both"/>
        <w:rPr>
          <w:rFonts w:eastAsia="Calibri" w:cstheme="minorHAnsi"/>
        </w:rPr>
      </w:pPr>
    </w:p>
    <w:p w14:paraId="3058D51F" w14:textId="77777777"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7</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Siniestros por ramos</w:t>
      </w:r>
    </w:p>
    <w:p w14:paraId="5AF4C427" w14:textId="77777777" w:rsidR="00483BDA" w:rsidRPr="004B0C8E" w:rsidRDefault="00483BDA" w:rsidP="00483BDA">
      <w:pPr>
        <w:autoSpaceDE w:val="0"/>
        <w:autoSpaceDN w:val="0"/>
        <w:adjustRightInd w:val="0"/>
        <w:spacing w:after="0" w:line="240" w:lineRule="auto"/>
        <w:jc w:val="center"/>
        <w:rPr>
          <w:rFonts w:cstheme="minorHAnsi"/>
          <w:sz w:val="16"/>
          <w:szCs w:val="16"/>
        </w:rPr>
      </w:pPr>
      <w:r w:rsidRPr="004B0C8E">
        <w:rPr>
          <w:rFonts w:cstheme="minorHAnsi"/>
          <w:b/>
          <w:bCs/>
          <w:sz w:val="16"/>
          <w:szCs w:val="16"/>
        </w:rPr>
        <w:t>Fuente:</w:t>
      </w:r>
      <w:r w:rsidRPr="004B0C8E">
        <w:rPr>
          <w:rFonts w:cstheme="minorHAnsi"/>
          <w:sz w:val="16"/>
          <w:szCs w:val="16"/>
        </w:rPr>
        <w:t xml:space="preserve"> Resumen ejecutivo diciembre 2022 -Fasecolda</w:t>
      </w:r>
      <w:r w:rsidRPr="004B0C8E">
        <w:rPr>
          <w:rStyle w:val="Refdenotaalpie"/>
          <w:rFonts w:cstheme="minorHAnsi"/>
          <w:sz w:val="16"/>
          <w:szCs w:val="16"/>
        </w:rPr>
        <w:footnoteReference w:id="7"/>
      </w:r>
    </w:p>
    <w:p w14:paraId="7B15E75A" w14:textId="6864872D" w:rsidR="00483BDA" w:rsidRPr="00483BDA" w:rsidRDefault="00483BDA" w:rsidP="00483BDA">
      <w:pPr>
        <w:spacing w:after="0" w:line="240" w:lineRule="auto"/>
        <w:jc w:val="center"/>
        <w:rPr>
          <w:rFonts w:eastAsia="Calibri" w:cstheme="minorHAnsi"/>
        </w:rPr>
      </w:pPr>
      <w:r w:rsidRPr="00483BDA">
        <w:rPr>
          <w:rFonts w:cstheme="minorHAnsi"/>
          <w:noProof/>
        </w:rPr>
        <w:drawing>
          <wp:anchor distT="0" distB="0" distL="114300" distR="114300" simplePos="0" relativeHeight="251657216" behindDoc="0" locked="0" layoutInCell="1" allowOverlap="1" wp14:anchorId="67BD307D" wp14:editId="32677081">
            <wp:simplePos x="0" y="0"/>
            <wp:positionH relativeFrom="column">
              <wp:align>center</wp:align>
            </wp:positionH>
            <wp:positionV relativeFrom="paragraph">
              <wp:posOffset>-3810</wp:posOffset>
            </wp:positionV>
            <wp:extent cx="5400040" cy="45529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96A13" w14:textId="77777777" w:rsidR="00483BDA" w:rsidRPr="00483BDA" w:rsidRDefault="00483BDA" w:rsidP="00483BDA">
      <w:pPr>
        <w:pStyle w:val="Descripcin"/>
        <w:rPr>
          <w:rFonts w:asciiTheme="minorHAnsi" w:hAnsiTheme="minorHAnsi" w:cstheme="minorHAnsi"/>
          <w:sz w:val="22"/>
          <w:szCs w:val="22"/>
        </w:rPr>
      </w:pPr>
    </w:p>
    <w:p w14:paraId="0B47107B" w14:textId="431FF839" w:rsidR="00483BDA" w:rsidRPr="00540A65" w:rsidRDefault="00540A65" w:rsidP="00540A65">
      <w:pPr>
        <w:pStyle w:val="Prrafodelista"/>
        <w:numPr>
          <w:ilvl w:val="1"/>
          <w:numId w:val="1"/>
        </w:numPr>
        <w:spacing w:after="0" w:line="240" w:lineRule="auto"/>
        <w:rPr>
          <w:rFonts w:cstheme="minorHAnsi"/>
          <w:b/>
          <w:bCs/>
        </w:rPr>
      </w:pPr>
      <w:r w:rsidRPr="00540A65">
        <w:rPr>
          <w:rFonts w:cstheme="minorHAnsi"/>
          <w:b/>
          <w:bCs/>
        </w:rPr>
        <w:br w:type="page"/>
      </w:r>
      <w:r w:rsidRPr="00540A65">
        <w:rPr>
          <w:rFonts w:cstheme="minorHAnsi"/>
          <w:b/>
          <w:bCs/>
        </w:rPr>
        <w:lastRenderedPageBreak/>
        <w:t>PERSPECTIVAS DE CRECIMIENTO INVERSIÓN Y VENTAS</w:t>
      </w:r>
    </w:p>
    <w:p w14:paraId="404FED4A" w14:textId="77777777" w:rsidR="00483BDA" w:rsidRPr="00483BDA" w:rsidRDefault="00483BDA" w:rsidP="009E7394">
      <w:pPr>
        <w:spacing w:after="0" w:line="240" w:lineRule="auto"/>
        <w:contextualSpacing/>
        <w:jc w:val="both"/>
        <w:rPr>
          <w:rFonts w:cstheme="minorHAnsi"/>
          <w:b/>
          <w:bCs/>
          <w:u w:val="single"/>
        </w:rPr>
      </w:pPr>
    </w:p>
    <w:p w14:paraId="554F08F9" w14:textId="6268D17D" w:rsidR="00483BDA" w:rsidRPr="00C9170B" w:rsidRDefault="00483BDA" w:rsidP="00C9170B">
      <w:pPr>
        <w:pStyle w:val="Prrafodelista"/>
        <w:numPr>
          <w:ilvl w:val="2"/>
          <w:numId w:val="1"/>
        </w:numPr>
        <w:spacing w:after="0" w:line="240" w:lineRule="auto"/>
        <w:rPr>
          <w:b/>
          <w:bCs/>
        </w:rPr>
      </w:pPr>
      <w:r w:rsidRPr="00C9170B">
        <w:rPr>
          <w:b/>
          <w:bCs/>
        </w:rPr>
        <w:t>Variables económicas que pueden afectar el abastecimiento o los precios en el sector</w:t>
      </w:r>
    </w:p>
    <w:p w14:paraId="5418112C" w14:textId="77777777" w:rsidR="00483BDA" w:rsidRPr="00483BDA" w:rsidRDefault="00483BDA" w:rsidP="009E7394">
      <w:pPr>
        <w:spacing w:after="0" w:line="240" w:lineRule="auto"/>
        <w:contextualSpacing/>
        <w:jc w:val="both"/>
        <w:rPr>
          <w:rFonts w:cstheme="minorHAnsi"/>
          <w:b/>
          <w:bCs/>
          <w:u w:val="single"/>
        </w:rPr>
      </w:pPr>
    </w:p>
    <w:p w14:paraId="3A57A139" w14:textId="77777777" w:rsidR="00483BDA" w:rsidRPr="00483BDA" w:rsidRDefault="00483BDA" w:rsidP="009E7394">
      <w:pPr>
        <w:spacing w:after="0" w:line="240" w:lineRule="auto"/>
        <w:jc w:val="both"/>
        <w:rPr>
          <w:rFonts w:cstheme="minorHAnsi"/>
          <w:shd w:val="clear" w:color="auto" w:fill="FDFDFD"/>
        </w:rPr>
      </w:pPr>
      <w:r w:rsidRPr="00483BDA">
        <w:rPr>
          <w:rFonts w:cstheme="minorHAnsi"/>
          <w:shd w:val="clear" w:color="auto" w:fill="FDFDFD"/>
        </w:rPr>
        <w:t>Se presentan las siguientes variables económicas que pueden afectar en los precios:</w:t>
      </w:r>
    </w:p>
    <w:p w14:paraId="236B3436" w14:textId="77777777" w:rsidR="00483BDA" w:rsidRPr="00483BDA" w:rsidRDefault="00483BDA" w:rsidP="009E7394">
      <w:pPr>
        <w:spacing w:after="0" w:line="240" w:lineRule="auto"/>
        <w:jc w:val="both"/>
        <w:rPr>
          <w:rFonts w:cstheme="minorHAnsi"/>
          <w:shd w:val="clear" w:color="auto" w:fill="FDFDFD"/>
        </w:rPr>
      </w:pPr>
    </w:p>
    <w:p w14:paraId="62BEC9C4" w14:textId="77777777" w:rsidR="00483BDA" w:rsidRPr="00483BDA" w:rsidRDefault="00483BDA" w:rsidP="009E7394">
      <w:pPr>
        <w:spacing w:after="0" w:line="240" w:lineRule="auto"/>
        <w:jc w:val="both"/>
        <w:rPr>
          <w:rFonts w:cstheme="minorHAnsi"/>
          <w:shd w:val="clear" w:color="auto" w:fill="FDFDFD"/>
        </w:rPr>
      </w:pPr>
    </w:p>
    <w:p w14:paraId="4C4F4F5A" w14:textId="50F2EDFA" w:rsid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8</w:t>
      </w:r>
      <w:r w:rsidRPr="00483BDA">
        <w:rPr>
          <w:rFonts w:asciiTheme="minorHAnsi" w:hAnsiTheme="minorHAnsi" w:cstheme="minorHAnsi"/>
          <w:sz w:val="22"/>
          <w:szCs w:val="22"/>
        </w:rPr>
        <w:fldChar w:fldCharType="end"/>
      </w:r>
      <w:r w:rsidRPr="00483BDA">
        <w:rPr>
          <w:rFonts w:asciiTheme="minorHAnsi" w:hAnsiTheme="minorHAnsi" w:cstheme="minorHAnsi"/>
          <w:sz w:val="22"/>
          <w:szCs w:val="22"/>
        </w:rPr>
        <w:t>: Variación del IPC</w:t>
      </w:r>
    </w:p>
    <w:p w14:paraId="12A07F2B" w14:textId="77777777" w:rsidR="00040038" w:rsidRPr="00040038" w:rsidRDefault="00040038" w:rsidP="00040038">
      <w:pPr>
        <w:rPr>
          <w:lang w:val="es-ES" w:eastAsia="es-ES"/>
        </w:rPr>
      </w:pPr>
    </w:p>
    <w:p w14:paraId="19A3FFCC" w14:textId="25372E2B" w:rsidR="00483BDA" w:rsidRPr="00483BDA" w:rsidRDefault="00040038" w:rsidP="00483BDA">
      <w:pPr>
        <w:spacing w:after="0" w:line="240" w:lineRule="auto"/>
        <w:jc w:val="center"/>
        <w:rPr>
          <w:rFonts w:cstheme="minorHAnsi"/>
          <w:color w:val="000000"/>
        </w:rPr>
      </w:pPr>
      <w:r w:rsidRPr="00040038">
        <w:rPr>
          <w:rFonts w:cstheme="minorHAnsi"/>
          <w:noProof/>
        </w:rPr>
        <w:drawing>
          <wp:inline distT="0" distB="0" distL="0" distR="0" wp14:anchorId="77D36C04" wp14:editId="4553DEB4">
            <wp:extent cx="5400040" cy="28251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825115"/>
                    </a:xfrm>
                    <a:prstGeom prst="rect">
                      <a:avLst/>
                    </a:prstGeom>
                  </pic:spPr>
                </pic:pic>
              </a:graphicData>
            </a:graphic>
          </wp:inline>
        </w:drawing>
      </w:r>
    </w:p>
    <w:p w14:paraId="4398EF41" w14:textId="77777777" w:rsidR="00483BDA" w:rsidRPr="005400F9" w:rsidRDefault="00483BDA" w:rsidP="00483BDA">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DANE</w:t>
      </w:r>
      <w:r w:rsidRPr="005400F9">
        <w:rPr>
          <w:rStyle w:val="Refdenotaalpie"/>
          <w:rFonts w:cstheme="minorHAnsi"/>
          <w:color w:val="000000"/>
          <w:sz w:val="16"/>
          <w:szCs w:val="16"/>
        </w:rPr>
        <w:footnoteReference w:id="8"/>
      </w:r>
    </w:p>
    <w:p w14:paraId="5D1F68A7" w14:textId="77777777" w:rsidR="00483BDA" w:rsidRPr="00483BDA" w:rsidRDefault="00483BDA" w:rsidP="00483BDA">
      <w:pPr>
        <w:spacing w:after="0" w:line="240" w:lineRule="auto"/>
        <w:jc w:val="center"/>
        <w:rPr>
          <w:rFonts w:cstheme="minorHAnsi"/>
          <w:color w:val="000000"/>
        </w:rPr>
      </w:pPr>
    </w:p>
    <w:p w14:paraId="18FEB8EB" w14:textId="409F6EE6" w:rsidR="00483BDA" w:rsidRPr="00483BDA" w:rsidRDefault="00483BDA" w:rsidP="007266D4">
      <w:pPr>
        <w:spacing w:after="0" w:line="240" w:lineRule="auto"/>
        <w:jc w:val="both"/>
        <w:rPr>
          <w:rFonts w:cstheme="minorHAnsi"/>
          <w:i/>
          <w:iCs/>
          <w:shd w:val="clear" w:color="auto" w:fill="FDFDFD"/>
        </w:rPr>
      </w:pPr>
      <w:r w:rsidRPr="00483BDA">
        <w:rPr>
          <w:rFonts w:cstheme="minorHAnsi"/>
          <w:shd w:val="clear" w:color="auto" w:fill="FDFDFD"/>
        </w:rPr>
        <w:t>“</w:t>
      </w:r>
      <w:r w:rsidR="007266D4" w:rsidRPr="007266D4">
        <w:rPr>
          <w:rFonts w:cstheme="minorHAnsi"/>
          <w:i/>
          <w:iCs/>
          <w:shd w:val="clear" w:color="auto" w:fill="FDFDFD"/>
        </w:rPr>
        <w:t>En el mes de febrero de 2023, el IPC registró una variación de 1,66% en comparación con enero de 2023, cinco divisiones se ubicaron por encima del promedio nacional (1,66%): Educación (8,50%), Muebles, artículos para el hogar y para la conservación ordinaria del hogar (2,04%), Transporte (1,99%), Bienes y servicios diversos (1,97%) y, por último, Restaurantes y hoteles (1,71%). Por debajo se ubicaron: Alimentos y bebidas no alcohólicas (1,60%), Bebidas alcohólicas y tabaco (1,29%), Salud (1,26%), Recreación y cultura (1,19%), Alojamiento, agua, electricidad, gas y otros combustibles (0,95%), Prendas de vestir y calzado (0,93%) y, por último, Información y comunicación (-0,07%).</w:t>
      </w:r>
      <w:r w:rsidRPr="00483BDA">
        <w:rPr>
          <w:rFonts w:cstheme="minorHAnsi"/>
          <w:i/>
          <w:iCs/>
          <w:shd w:val="clear" w:color="auto" w:fill="FDFDFD"/>
        </w:rPr>
        <w:t>”</w:t>
      </w:r>
      <w:r w:rsidRPr="00483BDA">
        <w:rPr>
          <w:rStyle w:val="Refdenotaalpie"/>
          <w:rFonts w:cstheme="minorHAnsi"/>
          <w:i/>
          <w:iCs/>
          <w:shd w:val="clear" w:color="auto" w:fill="FDFDFD"/>
        </w:rPr>
        <w:footnoteReference w:id="9"/>
      </w:r>
    </w:p>
    <w:p w14:paraId="7F08D893" w14:textId="69F0F313" w:rsidR="00483BDA" w:rsidRPr="00483BDA" w:rsidRDefault="00483BDA" w:rsidP="00483BDA">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br w:type="page"/>
      </w:r>
      <w:r w:rsidRPr="00483BDA">
        <w:rPr>
          <w:rFonts w:asciiTheme="minorHAnsi" w:hAnsiTheme="minorHAnsi" w:cstheme="minorHAnsi"/>
          <w:sz w:val="22"/>
          <w:szCs w:val="22"/>
        </w:rPr>
        <w:lastRenderedPageBreak/>
        <w:t xml:space="preserve">Ilustración </w:t>
      </w:r>
      <w:r w:rsidRPr="00483BDA">
        <w:rPr>
          <w:rFonts w:asciiTheme="minorHAnsi" w:hAnsiTheme="minorHAnsi" w:cstheme="minorHAnsi"/>
          <w:sz w:val="22"/>
          <w:szCs w:val="22"/>
        </w:rPr>
        <w:fldChar w:fldCharType="begin"/>
      </w:r>
      <w:r w:rsidRPr="00483BDA">
        <w:rPr>
          <w:rFonts w:asciiTheme="minorHAnsi" w:hAnsiTheme="minorHAnsi" w:cstheme="minorHAnsi"/>
          <w:sz w:val="22"/>
          <w:szCs w:val="22"/>
        </w:rPr>
        <w:instrText xml:space="preserve"> SEQ Ilustración \* ARABIC </w:instrText>
      </w:r>
      <w:r w:rsidRPr="00483BDA">
        <w:rPr>
          <w:rFonts w:asciiTheme="minorHAnsi" w:hAnsiTheme="minorHAnsi" w:cstheme="minorHAnsi"/>
          <w:sz w:val="22"/>
          <w:szCs w:val="22"/>
        </w:rPr>
        <w:fldChar w:fldCharType="separate"/>
      </w:r>
      <w:r w:rsidRPr="00483BDA">
        <w:rPr>
          <w:rFonts w:asciiTheme="minorHAnsi" w:hAnsiTheme="minorHAnsi" w:cstheme="minorHAnsi"/>
          <w:noProof/>
          <w:sz w:val="22"/>
          <w:szCs w:val="22"/>
        </w:rPr>
        <w:t>9</w:t>
      </w:r>
      <w:r w:rsidRPr="00483BDA">
        <w:rPr>
          <w:rFonts w:asciiTheme="minorHAnsi" w:hAnsiTheme="minorHAnsi" w:cstheme="minorHAnsi"/>
          <w:sz w:val="22"/>
          <w:szCs w:val="22"/>
        </w:rPr>
        <w:fldChar w:fldCharType="end"/>
      </w:r>
      <w:r w:rsidR="00340E0D">
        <w:rPr>
          <w:rFonts w:asciiTheme="minorHAnsi" w:hAnsiTheme="minorHAnsi" w:cstheme="minorHAnsi"/>
          <w:sz w:val="22"/>
          <w:szCs w:val="22"/>
        </w:rPr>
        <w:t>:</w:t>
      </w:r>
      <w:r w:rsidRPr="00483BDA">
        <w:rPr>
          <w:rFonts w:asciiTheme="minorHAnsi" w:hAnsiTheme="minorHAnsi" w:cstheme="minorHAnsi"/>
          <w:sz w:val="22"/>
          <w:szCs w:val="22"/>
        </w:rPr>
        <w:t xml:space="preserve"> Producto Interno Bruto -PIB</w:t>
      </w:r>
    </w:p>
    <w:p w14:paraId="11696B01" w14:textId="77777777" w:rsidR="00483BDA" w:rsidRPr="00483BDA" w:rsidRDefault="00483BDA" w:rsidP="00483BDA">
      <w:pPr>
        <w:spacing w:after="0" w:line="240" w:lineRule="auto"/>
        <w:rPr>
          <w:rFonts w:cstheme="minorHAnsi"/>
        </w:rPr>
      </w:pPr>
    </w:p>
    <w:p w14:paraId="143AB28C" w14:textId="2DB5E23B" w:rsidR="00483BDA" w:rsidRPr="00483BDA" w:rsidRDefault="00483BDA" w:rsidP="00483BDA">
      <w:pPr>
        <w:spacing w:after="0" w:line="240" w:lineRule="auto"/>
        <w:jc w:val="center"/>
        <w:rPr>
          <w:rFonts w:cstheme="minorHAnsi"/>
          <w:color w:val="000000"/>
        </w:rPr>
      </w:pPr>
      <w:r w:rsidRPr="00483BDA">
        <w:rPr>
          <w:rFonts w:cstheme="minorHAnsi"/>
          <w:noProof/>
          <w:color w:val="000000"/>
        </w:rPr>
        <w:drawing>
          <wp:inline distT="0" distB="0" distL="0" distR="0" wp14:anchorId="246D38DB" wp14:editId="3D937110">
            <wp:extent cx="5308600" cy="23812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600" cy="2381250"/>
                    </a:xfrm>
                    <a:prstGeom prst="rect">
                      <a:avLst/>
                    </a:prstGeom>
                    <a:noFill/>
                    <a:ln>
                      <a:noFill/>
                    </a:ln>
                  </pic:spPr>
                </pic:pic>
              </a:graphicData>
            </a:graphic>
          </wp:inline>
        </w:drawing>
      </w:r>
    </w:p>
    <w:p w14:paraId="2AE06CA4" w14:textId="77777777" w:rsidR="00483BDA" w:rsidRPr="00483BDA" w:rsidRDefault="00483BDA" w:rsidP="00483BDA">
      <w:pPr>
        <w:spacing w:after="0" w:line="240" w:lineRule="auto"/>
        <w:rPr>
          <w:rFonts w:cstheme="minorHAnsi"/>
          <w:color w:val="000000"/>
        </w:rPr>
      </w:pPr>
    </w:p>
    <w:p w14:paraId="7EB4A9DD" w14:textId="77777777" w:rsidR="00483BDA" w:rsidRPr="005400F9" w:rsidRDefault="00483BDA" w:rsidP="00483BDA">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DANE</w:t>
      </w:r>
      <w:r w:rsidRPr="005400F9">
        <w:rPr>
          <w:rStyle w:val="Refdenotaalpie"/>
          <w:rFonts w:cstheme="minorHAnsi"/>
          <w:color w:val="000000"/>
          <w:sz w:val="16"/>
          <w:szCs w:val="16"/>
        </w:rPr>
        <w:footnoteReference w:id="10"/>
      </w:r>
    </w:p>
    <w:p w14:paraId="73E57EC4" w14:textId="77777777" w:rsidR="00483BDA" w:rsidRPr="00483BDA" w:rsidRDefault="00483BDA" w:rsidP="00483BDA">
      <w:pPr>
        <w:spacing w:after="0" w:line="240" w:lineRule="auto"/>
        <w:rPr>
          <w:rFonts w:cstheme="minorHAnsi"/>
          <w:color w:val="000000"/>
        </w:rPr>
      </w:pPr>
    </w:p>
    <w:p w14:paraId="463D0C3B" w14:textId="77777777" w:rsidR="00483BDA" w:rsidRPr="00483BDA" w:rsidRDefault="00483BDA" w:rsidP="00483BDA">
      <w:pPr>
        <w:spacing w:after="0" w:line="240" w:lineRule="auto"/>
        <w:rPr>
          <w:rFonts w:cstheme="minorHAnsi"/>
          <w:color w:val="000000"/>
        </w:rPr>
      </w:pPr>
    </w:p>
    <w:p w14:paraId="2F0B03FC" w14:textId="77777777" w:rsidR="00483BDA" w:rsidRPr="00483BDA" w:rsidRDefault="00483BDA" w:rsidP="00483BDA">
      <w:pPr>
        <w:spacing w:after="0" w:line="240" w:lineRule="auto"/>
        <w:rPr>
          <w:rFonts w:cstheme="minorHAnsi"/>
          <w:color w:val="000000"/>
        </w:rPr>
      </w:pPr>
    </w:p>
    <w:p w14:paraId="54A49823" w14:textId="77777777" w:rsidR="00483BDA" w:rsidRPr="00483BDA" w:rsidRDefault="00483BDA" w:rsidP="00483BDA">
      <w:pPr>
        <w:autoSpaceDE w:val="0"/>
        <w:autoSpaceDN w:val="0"/>
        <w:adjustRightInd w:val="0"/>
        <w:spacing w:after="0" w:line="240" w:lineRule="auto"/>
        <w:jc w:val="both"/>
        <w:rPr>
          <w:rFonts w:eastAsia="ACaslonPro-Regular" w:cstheme="minorHAnsi"/>
          <w:b/>
          <w:bCs/>
          <w:u w:val="single"/>
        </w:rPr>
      </w:pPr>
      <w:r w:rsidRPr="00483BDA">
        <w:rPr>
          <w:rFonts w:eastAsia="ACaslonPro-Regular" w:cstheme="minorHAnsi"/>
          <w:b/>
          <w:bCs/>
          <w:u w:val="single"/>
        </w:rPr>
        <w:t>Salario mínimo</w:t>
      </w:r>
    </w:p>
    <w:p w14:paraId="496D5C64"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037E54D4"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ACaslonPro-Regular" w:cstheme="minorHAnsi"/>
        </w:rPr>
        <w:t>Colombia tendrá un aumento de salario mínimo a partir de 2023. Tras un acuerdo entre el Gobierno, los empresarios y las centrales obreras el incrementó será del 16%, de esta manera, el salario mínimo pasará de 1.000.000 pesos colombianos a 1.160.000 pesos.</w:t>
      </w:r>
    </w:p>
    <w:p w14:paraId="2088FD18"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42623E69" w14:textId="77777777" w:rsidR="00483BDA" w:rsidRPr="00483BDA" w:rsidRDefault="00483BDA" w:rsidP="00483BDA">
      <w:pPr>
        <w:autoSpaceDE w:val="0"/>
        <w:autoSpaceDN w:val="0"/>
        <w:adjustRightInd w:val="0"/>
        <w:spacing w:after="0" w:line="240" w:lineRule="auto"/>
        <w:jc w:val="both"/>
        <w:rPr>
          <w:rFonts w:eastAsia="ACaslonPro-Regular" w:cstheme="minorHAnsi"/>
        </w:rPr>
      </w:pPr>
      <w:r w:rsidRPr="00483BDA">
        <w:rPr>
          <w:rFonts w:eastAsia="ACaslonPro-Regular" w:cstheme="minorHAnsi"/>
        </w:rPr>
        <w:t>El nuevo salario mínimo entró en vigor a partir del 1 de enero de 2023.</w:t>
      </w:r>
    </w:p>
    <w:p w14:paraId="4E0120EE"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1C591BB0"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2187DE85"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747054E7" w14:textId="77777777" w:rsidR="00483BDA" w:rsidRPr="00483BDA" w:rsidRDefault="00483BDA" w:rsidP="00483BDA">
      <w:pPr>
        <w:autoSpaceDE w:val="0"/>
        <w:autoSpaceDN w:val="0"/>
        <w:adjustRightInd w:val="0"/>
        <w:spacing w:after="0" w:line="240" w:lineRule="auto"/>
        <w:jc w:val="both"/>
        <w:rPr>
          <w:rFonts w:eastAsia="ACaslonPro-Regular" w:cstheme="minorHAnsi"/>
        </w:rPr>
      </w:pPr>
    </w:p>
    <w:p w14:paraId="147611CA" w14:textId="4DB5FC93" w:rsidR="00483BDA" w:rsidRPr="00483BDA" w:rsidRDefault="00483BDA" w:rsidP="00483BDA">
      <w:pPr>
        <w:autoSpaceDE w:val="0"/>
        <w:autoSpaceDN w:val="0"/>
        <w:adjustRightInd w:val="0"/>
        <w:spacing w:after="0" w:line="240" w:lineRule="auto"/>
        <w:jc w:val="center"/>
        <w:rPr>
          <w:rFonts w:cstheme="minorHAnsi"/>
          <w:noProof/>
        </w:rPr>
      </w:pPr>
      <w:r w:rsidRPr="00483BDA">
        <w:rPr>
          <w:rFonts w:cstheme="minorHAnsi"/>
          <w:noProof/>
        </w:rPr>
        <w:drawing>
          <wp:inline distT="0" distB="0" distL="0" distR="0" wp14:anchorId="0D2AEFD8" wp14:editId="5C654C33">
            <wp:extent cx="385445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4450" cy="1200150"/>
                    </a:xfrm>
                    <a:prstGeom prst="rect">
                      <a:avLst/>
                    </a:prstGeom>
                    <a:noFill/>
                    <a:ln>
                      <a:noFill/>
                    </a:ln>
                  </pic:spPr>
                </pic:pic>
              </a:graphicData>
            </a:graphic>
          </wp:inline>
        </w:drawing>
      </w:r>
    </w:p>
    <w:p w14:paraId="10952D34" w14:textId="19A659B6" w:rsidR="0002449A" w:rsidRDefault="0002449A">
      <w:pPr>
        <w:spacing w:after="160" w:line="259" w:lineRule="auto"/>
        <w:rPr>
          <w:rFonts w:cstheme="minorHAnsi"/>
          <w:noProof/>
        </w:rPr>
      </w:pPr>
      <w:r>
        <w:rPr>
          <w:rFonts w:cstheme="minorHAnsi"/>
          <w:noProof/>
        </w:rPr>
        <w:br w:type="page"/>
      </w:r>
    </w:p>
    <w:p w14:paraId="0ED52A7A" w14:textId="2FF673B2" w:rsidR="00F535D1" w:rsidRPr="00C9170B" w:rsidRDefault="00F535D1" w:rsidP="00C9170B">
      <w:pPr>
        <w:pStyle w:val="Prrafodelista"/>
        <w:numPr>
          <w:ilvl w:val="1"/>
          <w:numId w:val="1"/>
        </w:numPr>
        <w:autoSpaceDE w:val="0"/>
        <w:autoSpaceDN w:val="0"/>
        <w:adjustRightInd w:val="0"/>
        <w:spacing w:after="0" w:line="240" w:lineRule="auto"/>
        <w:jc w:val="both"/>
        <w:rPr>
          <w:rFonts w:eastAsia="Calibri" w:cstheme="minorHAnsi"/>
          <w:b/>
          <w:bCs/>
        </w:rPr>
      </w:pPr>
      <w:r w:rsidRPr="00C9170B">
        <w:rPr>
          <w:rFonts w:eastAsia="Calibri" w:cstheme="minorHAnsi"/>
          <w:b/>
          <w:bCs/>
        </w:rPr>
        <w:lastRenderedPageBreak/>
        <w:t>Función y beneficios del reaseguro</w:t>
      </w:r>
    </w:p>
    <w:p w14:paraId="22CB3E53"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6A22ABE0" w14:textId="77777777"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Frente a los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4F289348"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62A70201" w14:textId="2084692A"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Esta condición al ser comparada al programa de la </w:t>
      </w:r>
      <w:r w:rsidR="00FC7980" w:rsidRPr="00457E41">
        <w:rPr>
          <w:rFonts w:eastAsia="ACaslonPro-Regular" w:cstheme="minorHAnsi"/>
          <w:b/>
          <w:bCs/>
        </w:rPr>
        <w:t>Universidad Distrital Francisco José de Caldas</w:t>
      </w:r>
      <w:r w:rsidRPr="00F25B58">
        <w:rPr>
          <w:rFonts w:eastAsia="ACaslonPro-Regular" w:cstheme="minorHAnsi"/>
        </w:rPr>
        <w:t xml:space="preserve"> resulta relevante, por cuanto su concentración de riesgos se encuentra en la ciudad de Bogotá, y que necesariamente debe realizarse un análisis de la mayor pérdida probable que tenga la </w:t>
      </w:r>
      <w:r w:rsidR="00FC7980" w:rsidRPr="00457E41">
        <w:rPr>
          <w:rFonts w:eastAsia="ACaslonPro-Regular" w:cstheme="minorHAnsi"/>
          <w:b/>
          <w:bCs/>
        </w:rPr>
        <w:t>Universidad Distrital Francisco José de Caldas</w:t>
      </w:r>
      <w:r w:rsidRPr="00F25B58">
        <w:rPr>
          <w:rFonts w:eastAsia="ACaslonPro-Regular" w:cstheme="minorHAnsi"/>
        </w:rPr>
        <w:t>, al presentarse un evento catastrófico derivado de un acto de la naturaleza, en especial en los bienes amparados bajo la póliza de Todo riesgo daño material.</w:t>
      </w:r>
    </w:p>
    <w:p w14:paraId="3C04B9D4"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1C59CF36" w14:textId="77777777" w:rsidR="00F535D1" w:rsidRPr="00F25B58" w:rsidRDefault="00F535D1" w:rsidP="00F535D1">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De allí la necesidad que tienen la Aseguradoras en Colombia, de buscar un respaldo a través de un Reaseguro especial denominado facultativo en la póliza de todo riesgo daño material. </w:t>
      </w:r>
    </w:p>
    <w:p w14:paraId="3C6F1240" w14:textId="77777777" w:rsidR="00F535D1" w:rsidRPr="00F25B58" w:rsidRDefault="00F535D1" w:rsidP="00F535D1">
      <w:pPr>
        <w:autoSpaceDE w:val="0"/>
        <w:autoSpaceDN w:val="0"/>
        <w:adjustRightInd w:val="0"/>
        <w:spacing w:after="0" w:line="240" w:lineRule="auto"/>
        <w:jc w:val="both"/>
        <w:rPr>
          <w:rFonts w:eastAsia="ACaslonPro-Regular" w:cstheme="minorHAnsi"/>
        </w:rPr>
      </w:pPr>
    </w:p>
    <w:p w14:paraId="0C1BED9B" w14:textId="77777777" w:rsidR="00F535D1" w:rsidRPr="00A5077F" w:rsidRDefault="00F535D1" w:rsidP="00F535D1">
      <w:pPr>
        <w:autoSpaceDE w:val="0"/>
        <w:autoSpaceDN w:val="0"/>
        <w:adjustRightInd w:val="0"/>
        <w:spacing w:after="0" w:line="240" w:lineRule="auto"/>
        <w:jc w:val="both"/>
        <w:rPr>
          <w:rFonts w:eastAsia="ACaslonPro-Regular" w:cstheme="minorHAnsi"/>
          <w:b/>
          <w:bCs/>
          <w:u w:val="single"/>
        </w:rPr>
      </w:pPr>
      <w:r w:rsidRPr="00F25B58">
        <w:rPr>
          <w:rFonts w:eastAsia="ACaslonPro-Regular" w:cstheme="minorHAnsi"/>
        </w:rPr>
        <w:t xml:space="preserve">Por cuanto, el reaseguro facultativo es un mecanismo de transferencia de riesgo especialmente importante para aquellos riesgos de carácter catastrófico, cuyos costos no pueden ser asumidos por una única compañía de seguros. La experiencia de desastres naturales ha evidenciado la relevancia del reaseguro como método de distribución del riesgo tanto a nivel vertical, en </w:t>
      </w:r>
      <w:r w:rsidRPr="00A5077F">
        <w:rPr>
          <w:rFonts w:eastAsia="ACaslonPro-Regular" w:cstheme="minorHAnsi"/>
        </w:rPr>
        <w:t xml:space="preserve">términos de diferentes entidades con exposición al mismo riesgo, como de forma horizontal o geográfica. </w:t>
      </w:r>
    </w:p>
    <w:p w14:paraId="220806F6" w14:textId="77777777" w:rsidR="00B9122E" w:rsidRPr="00A5077F" w:rsidRDefault="00B9122E" w:rsidP="008F60CF">
      <w:pPr>
        <w:spacing w:after="0" w:line="240" w:lineRule="auto"/>
        <w:jc w:val="both"/>
        <w:rPr>
          <w:rStyle w:val="Hipervnculo"/>
          <w:rFonts w:eastAsia="ACaslonPro-Regular" w:cstheme="minorHAnsi"/>
          <w:color w:val="auto"/>
        </w:rPr>
      </w:pPr>
    </w:p>
    <w:p w14:paraId="5094B745" w14:textId="3F71A368" w:rsidR="00DC0A02" w:rsidRPr="00F25B58" w:rsidRDefault="00DC0A02" w:rsidP="00DC0A02">
      <w:pPr>
        <w:autoSpaceDE w:val="0"/>
        <w:autoSpaceDN w:val="0"/>
        <w:adjustRightInd w:val="0"/>
        <w:spacing w:after="0" w:line="240" w:lineRule="auto"/>
        <w:jc w:val="both"/>
        <w:rPr>
          <w:rFonts w:eastAsia="ACaslonPro-Regular" w:cstheme="minorHAnsi"/>
        </w:rPr>
      </w:pPr>
      <w:r w:rsidRPr="00A5077F">
        <w:rPr>
          <w:rFonts w:eastAsia="ACaslonPro-Regular" w:cstheme="minorHAnsi"/>
        </w:rPr>
        <w:t xml:space="preserve">De otra </w:t>
      </w:r>
      <w:r w:rsidRPr="00F25B58">
        <w:rPr>
          <w:rFonts w:eastAsia="ACaslonPro-Regular" w:cstheme="minorHAnsi"/>
        </w:rPr>
        <w:t xml:space="preserve">parte, es importante mencionar que el reaseguro es también un sistema idóneo para que los aseguradores puedan lograr la uniformidad cuantitativa de sus carteras, cediendo los picos de </w:t>
      </w:r>
      <w:r w:rsidR="00A5077F" w:rsidRPr="00F25B58">
        <w:rPr>
          <w:rFonts w:eastAsia="ACaslonPro-Regular" w:cstheme="minorHAnsi"/>
        </w:rPr>
        <w:t>estas</w:t>
      </w:r>
      <w:r w:rsidRPr="00F25B58">
        <w:rPr>
          <w:rFonts w:eastAsia="ACaslonPro-Regular" w:cstheme="minorHAnsi"/>
        </w:rPr>
        <w:t xml:space="preserve"> y reteniendo los riesgos de magnitud similar. En esta forma se controla la volatilidad en los resultados permitiendo que los principios técnicos y cálculos estadísticos operen adecuadamente sin exponer los portafolios a desviaciones indeseables.</w:t>
      </w:r>
    </w:p>
    <w:p w14:paraId="7447B2A5" w14:textId="77777777" w:rsidR="00DC0A02" w:rsidRPr="00F25B58" w:rsidRDefault="00DC0A02" w:rsidP="00DC0A02">
      <w:pPr>
        <w:autoSpaceDE w:val="0"/>
        <w:autoSpaceDN w:val="0"/>
        <w:adjustRightInd w:val="0"/>
        <w:spacing w:after="0" w:line="240" w:lineRule="auto"/>
        <w:jc w:val="both"/>
        <w:rPr>
          <w:rFonts w:eastAsia="ACaslonPro-Regular" w:cstheme="minorHAnsi"/>
        </w:rPr>
      </w:pPr>
    </w:p>
    <w:p w14:paraId="7D9D694F" w14:textId="77777777" w:rsidR="00DC0A02" w:rsidRPr="00F25B58" w:rsidRDefault="00DC0A02" w:rsidP="00DC0A02">
      <w:pPr>
        <w:autoSpaceDE w:val="0"/>
        <w:autoSpaceDN w:val="0"/>
        <w:adjustRightInd w:val="0"/>
        <w:spacing w:after="0" w:line="240" w:lineRule="auto"/>
        <w:jc w:val="both"/>
        <w:rPr>
          <w:rFonts w:eastAsia="ACaslonPro-Regular" w:cstheme="minorHAnsi"/>
        </w:rPr>
      </w:pPr>
      <w:r w:rsidRPr="00F25B58">
        <w:rPr>
          <w:rFonts w:eastAsia="ACaslonPro-Regular" w:cstheme="minorHAnsi"/>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1ADE0831" w14:textId="77777777" w:rsidR="00DC0A02" w:rsidRPr="00F25B58" w:rsidRDefault="00DC0A02" w:rsidP="00DC0A02">
      <w:pPr>
        <w:autoSpaceDE w:val="0"/>
        <w:autoSpaceDN w:val="0"/>
        <w:adjustRightInd w:val="0"/>
        <w:spacing w:after="0" w:line="240" w:lineRule="auto"/>
        <w:jc w:val="both"/>
        <w:rPr>
          <w:rFonts w:eastAsia="ACaslonPro-Regular" w:cstheme="minorHAnsi"/>
        </w:rPr>
      </w:pPr>
    </w:p>
    <w:p w14:paraId="52ED0974" w14:textId="318F6B29" w:rsidR="00DC0A02" w:rsidRPr="00F25B58" w:rsidRDefault="00DC0A02" w:rsidP="00DC0A02">
      <w:pPr>
        <w:autoSpaceDE w:val="0"/>
        <w:autoSpaceDN w:val="0"/>
        <w:adjustRightInd w:val="0"/>
        <w:spacing w:after="0" w:line="240" w:lineRule="auto"/>
        <w:jc w:val="both"/>
        <w:rPr>
          <w:rFonts w:eastAsia="ACaslonPro-Regular" w:cstheme="minorHAnsi"/>
        </w:rPr>
      </w:pPr>
      <w:r w:rsidRPr="00F25B58">
        <w:rPr>
          <w:rFonts w:eastAsia="ACaslonPro-Regular" w:cstheme="minorHAnsi"/>
        </w:rPr>
        <w:t xml:space="preserve">Razón por la cual, </w:t>
      </w:r>
      <w:r w:rsidR="007065BE" w:rsidRPr="00F25B58">
        <w:rPr>
          <w:rFonts w:eastAsia="ACaslonPro-Regular" w:cstheme="minorHAnsi"/>
        </w:rPr>
        <w:t>e</w:t>
      </w:r>
      <w:r w:rsidRPr="00F25B58">
        <w:rPr>
          <w:rFonts w:eastAsia="ACaslonPro-Regular" w:cstheme="minorHAnsi"/>
        </w:rPr>
        <w:t>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660ED9D6" w14:textId="62C7CDB1" w:rsidR="00533A85" w:rsidRPr="00F25B58" w:rsidRDefault="00533A85" w:rsidP="00DC0A02">
      <w:pPr>
        <w:autoSpaceDE w:val="0"/>
        <w:autoSpaceDN w:val="0"/>
        <w:adjustRightInd w:val="0"/>
        <w:spacing w:after="0" w:line="240" w:lineRule="auto"/>
        <w:jc w:val="both"/>
        <w:rPr>
          <w:rFonts w:eastAsia="ACaslonPro-Regular" w:cstheme="minorHAnsi"/>
        </w:rPr>
      </w:pPr>
    </w:p>
    <w:p w14:paraId="6ED1CDE9" w14:textId="77777777" w:rsidR="00A04748" w:rsidRDefault="00A04748">
      <w:pPr>
        <w:spacing w:after="160" w:line="259" w:lineRule="auto"/>
        <w:rPr>
          <w:rFonts w:cstheme="minorHAnsi"/>
          <w:b/>
          <w:bCs/>
          <w:u w:val="single"/>
        </w:rPr>
      </w:pPr>
      <w:r>
        <w:rPr>
          <w:rFonts w:cstheme="minorHAnsi"/>
          <w:b/>
          <w:bCs/>
          <w:u w:val="single"/>
        </w:rPr>
        <w:br w:type="page"/>
      </w:r>
    </w:p>
    <w:p w14:paraId="17F82A89" w14:textId="6424B21C" w:rsidR="00AC7742" w:rsidRPr="00F25B58" w:rsidRDefault="00AC7742" w:rsidP="00AC7742">
      <w:pPr>
        <w:numPr>
          <w:ilvl w:val="0"/>
          <w:numId w:val="1"/>
        </w:numPr>
        <w:spacing w:after="0" w:line="240" w:lineRule="auto"/>
        <w:contextualSpacing/>
        <w:jc w:val="both"/>
        <w:rPr>
          <w:rFonts w:cstheme="minorHAnsi"/>
          <w:b/>
          <w:bCs/>
          <w:u w:val="single"/>
        </w:rPr>
      </w:pPr>
      <w:r w:rsidRPr="00F25B58">
        <w:rPr>
          <w:rFonts w:cstheme="minorHAnsi"/>
          <w:b/>
          <w:bCs/>
          <w:u w:val="single"/>
        </w:rPr>
        <w:lastRenderedPageBreak/>
        <w:t xml:space="preserve">PERSPECTIVA </w:t>
      </w:r>
      <w:r w:rsidR="00D7537E" w:rsidRPr="00F25B58">
        <w:rPr>
          <w:rFonts w:cstheme="minorHAnsi"/>
          <w:b/>
          <w:bCs/>
          <w:u w:val="single"/>
        </w:rPr>
        <w:t>FINANCIERA Y ORGANIZACIONAL</w:t>
      </w:r>
    </w:p>
    <w:p w14:paraId="262AEF2C" w14:textId="77777777" w:rsidR="00533A85" w:rsidRPr="00F25B58" w:rsidRDefault="00533A85" w:rsidP="00DC0A02">
      <w:pPr>
        <w:autoSpaceDE w:val="0"/>
        <w:autoSpaceDN w:val="0"/>
        <w:adjustRightInd w:val="0"/>
        <w:spacing w:after="0" w:line="240" w:lineRule="auto"/>
        <w:jc w:val="both"/>
        <w:rPr>
          <w:rFonts w:eastAsia="ACaslonPro-Regular" w:cstheme="minorHAnsi"/>
        </w:rPr>
      </w:pPr>
    </w:p>
    <w:p w14:paraId="01D6EFCE" w14:textId="70D79F6C" w:rsidR="007B2711" w:rsidRPr="00F25B58" w:rsidRDefault="007B2711" w:rsidP="007B2711">
      <w:pPr>
        <w:spacing w:after="0" w:line="240" w:lineRule="auto"/>
        <w:contextualSpacing/>
        <w:jc w:val="both"/>
        <w:rPr>
          <w:rFonts w:eastAsia="Times New Roman" w:cstheme="minorHAnsi"/>
          <w:b/>
          <w:lang w:val="es-ES" w:eastAsia="es-ES"/>
        </w:rPr>
      </w:pPr>
      <w:r w:rsidRPr="00F25B58">
        <w:rPr>
          <w:rFonts w:eastAsia="Times New Roman" w:cstheme="minorHAnsi"/>
          <w:b/>
          <w:lang w:val="es-ES" w:eastAsia="es-ES"/>
        </w:rPr>
        <w:t>La Entidad Estatal debe dejar constancia de este análisis en los Documentos del Proceso</w:t>
      </w:r>
    </w:p>
    <w:p w14:paraId="2DBA57AD" w14:textId="77777777" w:rsidR="007B2711" w:rsidRPr="00F25B58" w:rsidRDefault="007B2711" w:rsidP="007B2711">
      <w:pPr>
        <w:spacing w:after="0" w:line="240" w:lineRule="auto"/>
        <w:jc w:val="both"/>
        <w:rPr>
          <w:rFonts w:eastAsia="Times New Roman" w:cstheme="minorHAnsi"/>
          <w:i/>
          <w:lang w:val="es-ES" w:eastAsia="es-ES"/>
        </w:rPr>
      </w:pPr>
    </w:p>
    <w:p w14:paraId="60C25746"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bCs/>
          <w:i/>
          <w:lang w:val="es-ES" w:eastAsia="es-ES"/>
        </w:rPr>
        <w:t xml:space="preserve">Artículo 11. De la Ley 80 de 1993. </w:t>
      </w:r>
      <w:r w:rsidRPr="00F25B58">
        <w:rPr>
          <w:rFonts w:eastAsia="Times New Roman" w:cstheme="minorHAnsi"/>
          <w:bCs/>
          <w:i/>
          <w:iCs/>
          <w:lang w:val="es-ES" w:eastAsia="es-ES"/>
        </w:rPr>
        <w:t xml:space="preserve">Verificación de </w:t>
      </w:r>
      <w:r w:rsidRPr="00F25B58">
        <w:rPr>
          <w:rFonts w:eastAsia="Times New Roman" w:cstheme="minorHAnsi"/>
          <w:i/>
          <w:lang w:val="es-ES" w:eastAsia="es-ES"/>
        </w:rPr>
        <w:t>requisitos habilitantes en los pliegos de condiciones o en la invitación, teniendo en cuenta: (a) el Riesgo del Proceso de Contratación; (b) el valor del contrato objeto del Proceso de Contratación; (c) el análisis del sector económico respectivo; y (d) el conocimiento de fondo de los posibles oferentes desde la perspectiva comercial. La Entidad Estatal no debe limitarse a la aplicación mecánica de fórmulas financieras para verificar los requisitos habilitantes.</w:t>
      </w:r>
      <w:r w:rsidRPr="00F25B58">
        <w:rPr>
          <w:rFonts w:eastAsia="Times New Roman" w:cstheme="minorHAnsi"/>
          <w:lang w:val="es-ES" w:eastAsia="es-ES"/>
        </w:rPr>
        <w:t>”</w:t>
      </w:r>
    </w:p>
    <w:p w14:paraId="1A9AF797" w14:textId="77777777" w:rsidR="007B2711" w:rsidRPr="00F25B58" w:rsidRDefault="007B2711" w:rsidP="007B2711">
      <w:pPr>
        <w:spacing w:after="0" w:line="240" w:lineRule="auto"/>
        <w:jc w:val="both"/>
        <w:rPr>
          <w:rFonts w:eastAsia="Times New Roman" w:cstheme="minorHAnsi"/>
          <w:lang w:val="es-ES" w:eastAsia="es-ES"/>
        </w:rPr>
      </w:pPr>
    </w:p>
    <w:p w14:paraId="4619298E" w14:textId="2A75F71F" w:rsidR="007B2711" w:rsidRPr="00F25B58" w:rsidRDefault="007B2711" w:rsidP="007B2711">
      <w:pPr>
        <w:spacing w:after="0" w:line="240" w:lineRule="auto"/>
        <w:jc w:val="both"/>
        <w:rPr>
          <w:rFonts w:eastAsia="Calibri" w:cstheme="minorHAnsi"/>
          <w:bCs/>
        </w:rPr>
      </w:pPr>
      <w:r w:rsidRPr="00F25B58">
        <w:rPr>
          <w:rFonts w:eastAsia="Calibri" w:cstheme="minorHAnsi"/>
          <w:bCs/>
        </w:rPr>
        <w:t xml:space="preserve">Por lo anterior, la </w:t>
      </w:r>
      <w:r w:rsidR="00457E41">
        <w:rPr>
          <w:rFonts w:eastAsia="ACaslonPro-Regular" w:cstheme="minorHAnsi"/>
        </w:rPr>
        <w:t>Universidad Distrital Francisco José de Caldas</w:t>
      </w:r>
      <w:r w:rsidRPr="00F25B58">
        <w:rPr>
          <w:rFonts w:eastAsia="Calibri" w:cstheme="minorHAnsi"/>
          <w:bCs/>
        </w:rPr>
        <w:t>, analizó incluir el indicador de Patrimonio Adecuado, adicional al de Liquidez y Nivel de Endeudamiento en el proceso, basados en:</w:t>
      </w:r>
    </w:p>
    <w:p w14:paraId="4E5C1449" w14:textId="77777777" w:rsidR="007B2711" w:rsidRPr="00F25B58" w:rsidRDefault="007B2711" w:rsidP="007B2711">
      <w:pPr>
        <w:spacing w:after="0" w:line="240" w:lineRule="auto"/>
        <w:jc w:val="both"/>
        <w:rPr>
          <w:rFonts w:eastAsia="Calibri" w:cstheme="minorHAnsi"/>
          <w:bCs/>
        </w:rPr>
      </w:pPr>
    </w:p>
    <w:p w14:paraId="3D831D58" w14:textId="517CD106" w:rsidR="007B2711" w:rsidRPr="00F25B58" w:rsidRDefault="007B2711" w:rsidP="0073162A">
      <w:pPr>
        <w:numPr>
          <w:ilvl w:val="1"/>
          <w:numId w:val="4"/>
        </w:numPr>
        <w:spacing w:after="0" w:line="240" w:lineRule="auto"/>
        <w:ind w:left="567" w:hanging="567"/>
        <w:contextualSpacing/>
        <w:jc w:val="both"/>
        <w:rPr>
          <w:rFonts w:eastAsia="Calibri" w:cstheme="minorHAnsi"/>
          <w:b/>
          <w:bCs/>
        </w:rPr>
      </w:pPr>
      <w:r w:rsidRPr="00F25B58">
        <w:rPr>
          <w:rFonts w:eastAsia="Calibri" w:cstheme="minorHAnsi"/>
          <w:b/>
          <w:bCs/>
        </w:rPr>
        <w:t>Patrimonio Adecuado</w:t>
      </w:r>
    </w:p>
    <w:p w14:paraId="6A09973A" w14:textId="77777777" w:rsidR="007B2711" w:rsidRPr="00F25B58" w:rsidRDefault="007B2711" w:rsidP="007B2711">
      <w:pPr>
        <w:spacing w:after="0" w:line="240" w:lineRule="auto"/>
        <w:jc w:val="both"/>
        <w:rPr>
          <w:rFonts w:eastAsia="Times New Roman" w:cstheme="minorHAnsi"/>
          <w:lang w:val="es-ES" w:eastAsia="es-ES"/>
        </w:rPr>
      </w:pPr>
    </w:p>
    <w:p w14:paraId="0CFB793F"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lang w:val="es-ES" w:eastAsia="es-ES"/>
        </w:rPr>
        <w:t xml:space="preserve">Las disposiciones previstas en el Estatuto Orgánico del Sistema Financiero, en especial las relacionadas con lo dispuesto en el  Decreto 2954 de 2010, que estableció el régimen de patrimonio adecuado para las entidades aseguradoras, como indicador integral y específico para evidenciar la efectiva capacidad financiera, tal como se indica en el considerando de dicha norma, en el que se estipula </w:t>
      </w:r>
      <w:r w:rsidRPr="00F25B58">
        <w:rPr>
          <w:rFonts w:eastAsia="Times New Roman" w:cstheme="minorHAnsi"/>
          <w:b/>
          <w:bCs/>
          <w:i/>
          <w:iCs/>
          <w:lang w:val="es-ES" w:eastAsia="es-ES"/>
        </w:rPr>
        <w:t>“</w:t>
      </w:r>
      <w:r w:rsidRPr="00F25B58">
        <w:rPr>
          <w:rFonts w:eastAsia="Times New Roman" w:cstheme="minorHAnsi"/>
          <w:i/>
          <w:iCs/>
          <w:lang w:val="es-ES" w:eastAsia="es-ES"/>
        </w:rPr>
        <w:t>Que de acuerdo con los estándares internacionales de regulación, los requerimientos de solvencia para las entidades aseguradoras deben tener en cuenta no sólo los riesgos de suscripción asociados a los riesgos amparados y las primas cobradas, </w:t>
      </w:r>
      <w:r w:rsidRPr="00F25B58">
        <w:rPr>
          <w:rFonts w:eastAsia="Times New Roman" w:cstheme="minorHAnsi"/>
          <w:b/>
          <w:bCs/>
          <w:i/>
          <w:iCs/>
          <w:lang w:val="es-ES" w:eastAsia="es-ES"/>
        </w:rPr>
        <w:t xml:space="preserve">sino que también deben considerar otro tipo de riesgos como los propiamente financieros tal como el de mercado y el de activo. </w:t>
      </w:r>
      <w:r w:rsidRPr="00F25B58">
        <w:rPr>
          <w:rFonts w:eastAsia="Times New Roman" w:cstheme="minorHAnsi"/>
          <w:lang w:val="es-ES" w:eastAsia="es-ES"/>
        </w:rPr>
        <w:t>(Negrilla y subrayado fuera de texto)</w:t>
      </w:r>
    </w:p>
    <w:p w14:paraId="26670BF4" w14:textId="77777777" w:rsidR="007B2711" w:rsidRPr="00F25B58" w:rsidRDefault="007B2711" w:rsidP="007B2711">
      <w:pPr>
        <w:spacing w:after="0" w:line="240" w:lineRule="auto"/>
        <w:jc w:val="both"/>
        <w:rPr>
          <w:rFonts w:eastAsia="Times New Roman" w:cstheme="minorHAnsi"/>
          <w:i/>
          <w:iCs/>
          <w:lang w:val="es-ES" w:eastAsia="es-ES"/>
        </w:rPr>
      </w:pPr>
    </w:p>
    <w:p w14:paraId="5A424D9B"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i/>
          <w:iCs/>
          <w:lang w:val="es-ES" w:eastAsia="es-ES"/>
        </w:rPr>
        <w:t xml:space="preserve">Que, dado que pueden existir correlaciones entre los diferentes riesgos considerados y que dichas correlaciones varían en cada entidad, las aseguradoras podrán utilizar modelos de medición propios para el cálculo de dichas correlaciones previa </w:t>
      </w:r>
      <w:r w:rsidRPr="00F25B58">
        <w:rPr>
          <w:rFonts w:eastAsia="Times New Roman" w:cstheme="minorHAnsi"/>
          <w:lang w:val="es-ES" w:eastAsia="es-ES"/>
        </w:rPr>
        <w:t>autorización</w:t>
      </w:r>
      <w:r w:rsidRPr="00F25B58">
        <w:rPr>
          <w:rFonts w:eastAsia="Times New Roman" w:cstheme="minorHAnsi"/>
          <w:i/>
          <w:iCs/>
          <w:lang w:val="es-ES" w:eastAsia="es-ES"/>
        </w:rPr>
        <w:t xml:space="preserve"> de la Superintendencia Financiera de Colombia. Así mismo se podrán presentar modelos de industria, autorizados por la Superintendencia Financiera de Colombia, que den cuenta de las diferentes correlaciones existentes en cada entidad.</w:t>
      </w:r>
    </w:p>
    <w:p w14:paraId="3CA81577" w14:textId="3C6BA7D9" w:rsidR="007B2711" w:rsidRPr="00F25B58" w:rsidRDefault="007B2711" w:rsidP="007B2711">
      <w:pPr>
        <w:spacing w:after="0" w:line="240" w:lineRule="auto"/>
        <w:rPr>
          <w:rFonts w:eastAsia="Times New Roman" w:cstheme="minorHAnsi"/>
          <w:lang w:val="es-ES" w:eastAsia="es-ES"/>
        </w:rPr>
      </w:pPr>
    </w:p>
    <w:p w14:paraId="174C4E20" w14:textId="77777777"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i/>
          <w:iCs/>
          <w:lang w:val="es-ES" w:eastAsia="es-ES"/>
        </w:rPr>
        <w:t xml:space="preserve">Que, con el objetivo de determinar el valor correspondiente al riesgo de activo, las entidades aseguradoras deben clasificarlos en alguna de las </w:t>
      </w:r>
      <w:r w:rsidRPr="00F25B58">
        <w:rPr>
          <w:rFonts w:eastAsia="Times New Roman" w:cstheme="minorHAnsi"/>
          <w:lang w:val="es-ES" w:eastAsia="es-ES"/>
        </w:rPr>
        <w:t>categorías</w:t>
      </w:r>
      <w:r w:rsidRPr="00F25B58">
        <w:rPr>
          <w:rFonts w:eastAsia="Times New Roman" w:cstheme="minorHAnsi"/>
          <w:i/>
          <w:iCs/>
          <w:lang w:val="es-ES" w:eastAsia="es-ES"/>
        </w:rPr>
        <w:t xml:space="preserve"> de riesgo establecidas en el presente decreto y posteriormente ponderarlos según su nivel de riesgo, </w:t>
      </w:r>
      <w:r w:rsidRPr="00F25B58">
        <w:rPr>
          <w:rFonts w:eastAsia="Times New Roman" w:cstheme="minorHAnsi"/>
          <w:b/>
          <w:bCs/>
          <w:i/>
          <w:iCs/>
          <w:lang w:val="es-ES" w:eastAsia="es-ES"/>
        </w:rPr>
        <w:t>con el fin de garantizar que la entidad cuenta con un patrimonio sano, adecuado y de calidad.</w:t>
      </w:r>
      <w:r w:rsidRPr="00F25B58">
        <w:rPr>
          <w:rFonts w:eastAsia="Times New Roman" w:cstheme="minorHAnsi"/>
          <w:i/>
          <w:iCs/>
          <w:lang w:val="es-ES" w:eastAsia="es-ES"/>
        </w:rPr>
        <w:t> </w:t>
      </w:r>
      <w:r w:rsidRPr="00F25B58">
        <w:rPr>
          <w:rFonts w:eastAsia="Times New Roman" w:cstheme="minorHAnsi"/>
          <w:lang w:val="es-ES" w:eastAsia="es-ES"/>
        </w:rPr>
        <w:t>(Negrilla y subrayado fuera de texto)</w:t>
      </w:r>
    </w:p>
    <w:p w14:paraId="655DD792" w14:textId="0913136A" w:rsidR="007B2711" w:rsidRPr="00F25B58" w:rsidRDefault="007B2711" w:rsidP="007B2711">
      <w:pPr>
        <w:spacing w:after="0" w:line="240" w:lineRule="auto"/>
        <w:rPr>
          <w:rFonts w:eastAsia="Times New Roman" w:cstheme="minorHAnsi"/>
          <w:lang w:val="es-ES" w:eastAsia="es-ES"/>
        </w:rPr>
      </w:pPr>
    </w:p>
    <w:p w14:paraId="5C23F3D9" w14:textId="41D6990D" w:rsidR="007B2711" w:rsidRPr="00F25B58" w:rsidRDefault="007B2711" w:rsidP="007B2711">
      <w:pPr>
        <w:autoSpaceDE w:val="0"/>
        <w:autoSpaceDN w:val="0"/>
        <w:adjustRightInd w:val="0"/>
        <w:spacing w:after="0" w:line="240" w:lineRule="auto"/>
        <w:jc w:val="both"/>
        <w:rPr>
          <w:rFonts w:eastAsia="Calibri" w:cstheme="minorHAnsi"/>
          <w:lang w:eastAsia="es-CO"/>
        </w:rPr>
      </w:pPr>
      <w:r w:rsidRPr="00F25B58">
        <w:rPr>
          <w:rFonts w:eastAsia="Calibri" w:cstheme="minorHAnsi"/>
          <w:lang w:eastAsia="es-CO"/>
        </w:rPr>
        <w:t>Se destaca sobre el régimen establecido por la disposición antes referida, que del análisis del mismo se concluye, que tal regulación tiene como objetivo determinar los requisitos mínimos de capacidad financiera de las aseguradoras, que permitan garantizar niveles de solvencia adecuados y suficientes, advirtiendo que éstos consideran en forma integral los aspectos relacionados con los indicadores que se contienen en el RUP y de aplicación específica a los aspectos de la operación del mercado asegurador, entre otros, los siguientes:</w:t>
      </w:r>
    </w:p>
    <w:p w14:paraId="6A4EB6AD" w14:textId="77777777" w:rsidR="007B2711" w:rsidRPr="00F25B58" w:rsidRDefault="007B2711" w:rsidP="007B2711">
      <w:pPr>
        <w:autoSpaceDE w:val="0"/>
        <w:autoSpaceDN w:val="0"/>
        <w:adjustRightInd w:val="0"/>
        <w:spacing w:after="0" w:line="240" w:lineRule="auto"/>
        <w:jc w:val="both"/>
        <w:rPr>
          <w:rFonts w:eastAsia="Calibri" w:cstheme="minorHAnsi"/>
          <w:lang w:eastAsia="es-CO"/>
        </w:rPr>
      </w:pPr>
    </w:p>
    <w:p w14:paraId="68C30BCC"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r w:rsidRPr="00F25B58">
        <w:rPr>
          <w:rFonts w:eastAsia="Calibri" w:cstheme="minorHAnsi"/>
          <w:i/>
          <w:lang w:eastAsia="es-CO"/>
        </w:rPr>
        <w:t>"CAPÍTULO 2. Régimen de patrimonio adecuado de las entidades aseguradoras.</w:t>
      </w:r>
    </w:p>
    <w:p w14:paraId="1DA8821B"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p>
    <w:p w14:paraId="6493F5FC" w14:textId="77777777" w:rsidR="007B2711" w:rsidRPr="00F25B58" w:rsidRDefault="007B2711" w:rsidP="007B2711">
      <w:pPr>
        <w:autoSpaceDE w:val="0"/>
        <w:autoSpaceDN w:val="0"/>
        <w:adjustRightInd w:val="0"/>
        <w:spacing w:after="0" w:line="240" w:lineRule="auto"/>
        <w:jc w:val="both"/>
        <w:rPr>
          <w:rFonts w:eastAsia="Calibri" w:cstheme="minorHAnsi"/>
          <w:i/>
          <w:lang w:eastAsia="es-CO"/>
        </w:rPr>
      </w:pPr>
      <w:r w:rsidRPr="00F25B58">
        <w:rPr>
          <w:rFonts w:eastAsia="Calibri" w:cstheme="minorHAnsi"/>
          <w:i/>
          <w:lang w:eastAsia="es-CO"/>
        </w:rPr>
        <w:lastRenderedPageBreak/>
        <w:t>Artículo 2.31.1.2.1. Patrimonio técnico.</w:t>
      </w:r>
      <w:r w:rsidRPr="00F25B58">
        <w:rPr>
          <w:rFonts w:eastAsia="Calibri" w:cstheme="minorHAnsi"/>
          <w:bCs/>
          <w:i/>
          <w:iCs/>
        </w:rPr>
        <w:t xml:space="preserve"> </w:t>
      </w:r>
      <w:r w:rsidRPr="00F25B58">
        <w:rPr>
          <w:rFonts w:eastAsia="Calibri" w:cstheme="minorHAnsi"/>
          <w:i/>
          <w:lang w:eastAsia="es-CO"/>
        </w:rPr>
        <w:t>Las entidades aseguradoras</w:t>
      </w:r>
      <w:r w:rsidRPr="00F25B58">
        <w:rPr>
          <w:rFonts w:eastAsia="Calibri" w:cstheme="minorHAnsi"/>
          <w:i/>
        </w:rPr>
        <w:t xml:space="preserve"> </w:t>
      </w:r>
      <w:r w:rsidRPr="00F25B58">
        <w:rPr>
          <w:rFonts w:eastAsia="Calibri" w:cstheme="minorHAnsi"/>
          <w:i/>
          <w:u w:val="single"/>
          <w:lang w:eastAsia="es-CO"/>
        </w:rPr>
        <w:t>deben mantener permanentemente y acreditar ante la Superintendencia Financiera de Colombia</w:t>
      </w:r>
      <w:r w:rsidRPr="00F25B58">
        <w:rPr>
          <w:rFonts w:eastAsia="Calibri" w:cstheme="minorHAnsi"/>
          <w:i/>
        </w:rPr>
        <w:t xml:space="preserve"> </w:t>
      </w:r>
      <w:r w:rsidRPr="00F25B58">
        <w:rPr>
          <w:rFonts w:eastAsia="Calibri" w:cstheme="minorHAnsi"/>
          <w:i/>
          <w:lang w:eastAsia="es-CO"/>
        </w:rPr>
        <w:t>en la forma y plazos que ésta determine,</w:t>
      </w:r>
      <w:r w:rsidRPr="00F25B58">
        <w:rPr>
          <w:rFonts w:eastAsia="Calibri" w:cstheme="minorHAnsi"/>
          <w:i/>
        </w:rPr>
        <w:t xml:space="preserve"> </w:t>
      </w:r>
      <w:r w:rsidRPr="00F25B58">
        <w:rPr>
          <w:rFonts w:eastAsia="Calibri" w:cstheme="minorHAnsi"/>
          <w:i/>
          <w:lang w:eastAsia="es-CO"/>
        </w:rPr>
        <w:t>un patrimonio técnico equivalente como mínimo al nivel de patrimonio adecuado</w:t>
      </w:r>
      <w:r w:rsidRPr="00F25B58">
        <w:rPr>
          <w:rFonts w:eastAsia="Calibri" w:cstheme="minorHAnsi"/>
          <w:i/>
        </w:rPr>
        <w:t xml:space="preserve"> </w:t>
      </w:r>
      <w:r w:rsidRPr="00F25B58">
        <w:rPr>
          <w:rFonts w:eastAsia="Calibri" w:cstheme="minorHAnsi"/>
          <w:i/>
          <w:lang w:eastAsia="es-CO"/>
        </w:rPr>
        <w:t>establecido en el Capítulo 2 del Título 1 del Libro 31 de la Parte 2 del presente decreto.”</w:t>
      </w:r>
    </w:p>
    <w:p w14:paraId="1B50BCE2" w14:textId="77777777" w:rsidR="007B2711" w:rsidRPr="00F25B58" w:rsidRDefault="007B2711" w:rsidP="007B2711">
      <w:pPr>
        <w:spacing w:after="0" w:line="240" w:lineRule="auto"/>
        <w:jc w:val="both"/>
        <w:rPr>
          <w:rFonts w:eastAsia="Times New Roman" w:cstheme="minorHAnsi"/>
          <w:lang w:val="es-ES" w:eastAsia="es-ES"/>
        </w:rPr>
      </w:pPr>
    </w:p>
    <w:p w14:paraId="036AF901" w14:textId="680682E1" w:rsidR="007B2711" w:rsidRPr="00F25B58" w:rsidRDefault="007B2711" w:rsidP="007B2711">
      <w:pPr>
        <w:spacing w:after="0" w:line="240" w:lineRule="auto"/>
        <w:jc w:val="both"/>
        <w:rPr>
          <w:rFonts w:eastAsia="Times New Roman" w:cstheme="minorHAnsi"/>
          <w:lang w:val="es-ES" w:eastAsia="es-ES"/>
        </w:rPr>
      </w:pPr>
      <w:r w:rsidRPr="00F25B58">
        <w:rPr>
          <w:rFonts w:eastAsia="Times New Roman" w:cstheme="minorHAnsi"/>
          <w:lang w:val="es-ES" w:eastAsia="es-ES"/>
        </w:rPr>
        <w:t xml:space="preserve">Para efectos de la verificación del cumplimiento de este requisito la </w:t>
      </w:r>
      <w:r w:rsidR="00457E41">
        <w:rPr>
          <w:rFonts w:eastAsia="ACaslonPro-Regular" w:cstheme="minorHAnsi"/>
        </w:rPr>
        <w:t>Universidad Distrital Francisco José de Caldas</w:t>
      </w:r>
      <w:r w:rsidRPr="00F25B58">
        <w:rPr>
          <w:rFonts w:eastAsia="Times New Roman" w:cstheme="minorHAnsi"/>
          <w:lang w:val="es-ES" w:eastAsia="es-ES"/>
        </w:rPr>
        <w:t>, realizaría la consulta en la página Web de la Superintendencia Financiera de Colombia, del último reporte de patrimonio técnico y patrimonio adecuado publicado por esta Entidad.</w:t>
      </w:r>
    </w:p>
    <w:p w14:paraId="39DF591B" w14:textId="77777777" w:rsidR="007B2711" w:rsidRPr="00F25B58" w:rsidRDefault="007B2711" w:rsidP="007B2711">
      <w:pPr>
        <w:spacing w:after="0" w:line="240" w:lineRule="auto"/>
        <w:rPr>
          <w:rFonts w:eastAsia="Times New Roman" w:cstheme="minorHAnsi"/>
          <w:lang w:val="es-ES" w:eastAsia="es-ES"/>
        </w:rPr>
      </w:pPr>
    </w:p>
    <w:p w14:paraId="486A2E0F" w14:textId="32C795A8"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 xml:space="preserve">En caso de propuestas presentadas bajo la modalidad de Coaseguro, los índices se verificarán </w:t>
      </w:r>
      <w:r w:rsidR="00766F56" w:rsidRPr="00F25B58">
        <w:rPr>
          <w:rFonts w:eastAsia="Calibri" w:cstheme="minorHAnsi"/>
          <w:lang w:eastAsia="es-CO"/>
        </w:rPr>
        <w:t>o</w:t>
      </w:r>
      <w:r w:rsidRPr="00F25B58">
        <w:rPr>
          <w:rFonts w:eastAsia="Calibri" w:cstheme="minorHAnsi"/>
          <w:lang w:eastAsia="es-CO"/>
        </w:rPr>
        <w:t xml:space="preserve"> determinarán, según corresponda, para cada uno de los integrantes por separado, luego se aplicará el porcentaje de participación en el Coaseguro y finalmente se suman como subtotales, para obtener el índice de referencia</w:t>
      </w:r>
    </w:p>
    <w:p w14:paraId="2C75D9B4" w14:textId="77777777" w:rsidR="007B2711" w:rsidRPr="00F25B58" w:rsidRDefault="007B2711" w:rsidP="007B2711">
      <w:pPr>
        <w:spacing w:after="0" w:line="240" w:lineRule="auto"/>
        <w:jc w:val="both"/>
        <w:rPr>
          <w:rFonts w:eastAsia="Calibri" w:cstheme="minorHAnsi"/>
          <w:lang w:eastAsia="es-CO"/>
        </w:rPr>
      </w:pPr>
    </w:p>
    <w:p w14:paraId="402DA994" w14:textId="77777777" w:rsidR="007B2711" w:rsidRPr="00F25B58" w:rsidRDefault="007B2711" w:rsidP="0073162A">
      <w:pPr>
        <w:numPr>
          <w:ilvl w:val="1"/>
          <w:numId w:val="4"/>
        </w:numPr>
        <w:spacing w:after="0" w:line="240" w:lineRule="auto"/>
        <w:ind w:left="426" w:hanging="426"/>
        <w:contextualSpacing/>
        <w:jc w:val="both"/>
        <w:rPr>
          <w:rFonts w:eastAsia="Calibri" w:cstheme="minorHAnsi"/>
          <w:b/>
          <w:bCs/>
        </w:rPr>
      </w:pPr>
      <w:r w:rsidRPr="00F25B58">
        <w:rPr>
          <w:rFonts w:eastAsia="Calibri" w:cstheme="minorHAnsi"/>
          <w:b/>
          <w:bCs/>
        </w:rPr>
        <w:t>Solvencia del Sector Asegurador</w:t>
      </w:r>
    </w:p>
    <w:p w14:paraId="32CF6EC7" w14:textId="77777777" w:rsidR="007B2711" w:rsidRPr="00F25B58" w:rsidRDefault="007B2711" w:rsidP="007B2711">
      <w:pPr>
        <w:spacing w:after="0" w:line="240" w:lineRule="auto"/>
        <w:jc w:val="both"/>
        <w:rPr>
          <w:rFonts w:eastAsia="Calibri" w:cstheme="minorHAnsi"/>
        </w:rPr>
      </w:pPr>
    </w:p>
    <w:p w14:paraId="5AD9A43B"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En el año 2010 se ajustó el requerimiento de capital (patrimonio adecuado) de acuerdo con las mejores prácticas a nivel internacional (Artículo 2.31.1.2.1. Decreto 2954/2010).</w:t>
      </w:r>
    </w:p>
    <w:p w14:paraId="6A7E4066" w14:textId="77777777" w:rsidR="007B2711" w:rsidRPr="00F25B58" w:rsidRDefault="007B2711" w:rsidP="007B2711">
      <w:pPr>
        <w:spacing w:after="0" w:line="240" w:lineRule="auto"/>
        <w:jc w:val="both"/>
        <w:rPr>
          <w:rFonts w:eastAsia="Calibri" w:cstheme="minorHAnsi"/>
          <w:lang w:eastAsia="es-CO"/>
        </w:rPr>
      </w:pPr>
    </w:p>
    <w:p w14:paraId="08798883"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“Artículo 2.31.1.2.1. Patrimonio técnico. Las entidades aseguradoras deben mantener permanentemente y acreditar ante la Superintendencia Financiera de Colombia en la forma y plazos que esta determine, un patrimonio técnico equivalente como mínimo al nivel de patrimonio adecuado establecido en el Capítulo 2 del Título 1 del Libro 31 de la Parte 2 del presente decreto.</w:t>
      </w:r>
    </w:p>
    <w:p w14:paraId="3976BBF1" w14:textId="77777777" w:rsidR="007B2711" w:rsidRPr="00F25B58" w:rsidRDefault="007B2711" w:rsidP="007B2711">
      <w:pPr>
        <w:spacing w:after="0" w:line="240" w:lineRule="auto"/>
        <w:jc w:val="both"/>
        <w:rPr>
          <w:rFonts w:eastAsia="Calibri" w:cstheme="minorHAnsi"/>
          <w:lang w:eastAsia="es-CO"/>
        </w:rPr>
      </w:pPr>
    </w:p>
    <w:p w14:paraId="1B14E8CA"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Para los fines a que se refiere el presente artículo el patrimonio técnico comprende la suma capital primario y del capital secundario, calculado en los términos señalados en los artículos 2.31.1.2.2, 2.31.1.2.3 y 2.31.1.2.4 del presente decreto.”</w:t>
      </w:r>
    </w:p>
    <w:p w14:paraId="0C3357DD" w14:textId="77777777" w:rsidR="007B2711" w:rsidRPr="00F25B58" w:rsidRDefault="007B2711" w:rsidP="007B2711">
      <w:pPr>
        <w:spacing w:after="0" w:line="240" w:lineRule="auto"/>
        <w:jc w:val="both"/>
        <w:rPr>
          <w:rFonts w:eastAsia="Calibri" w:cstheme="minorHAnsi"/>
          <w:lang w:eastAsia="es-CO"/>
        </w:rPr>
      </w:pPr>
    </w:p>
    <w:p w14:paraId="28BE81E4" w14:textId="77777777"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Las entidades, tanto de seguros generales como de vida, continúan presentando altos niveles de patrimonio técnico con respecto al patrimonio adecuado.</w:t>
      </w:r>
    </w:p>
    <w:p w14:paraId="2F89E20B" w14:textId="77777777" w:rsidR="007B2711" w:rsidRPr="00F25B58" w:rsidRDefault="007B2711" w:rsidP="007B2711">
      <w:pPr>
        <w:spacing w:after="0" w:line="240" w:lineRule="auto"/>
        <w:jc w:val="both"/>
        <w:rPr>
          <w:rFonts w:eastAsia="Calibri" w:cstheme="minorHAnsi"/>
          <w:lang w:eastAsia="es-CO"/>
        </w:rPr>
      </w:pPr>
    </w:p>
    <w:p w14:paraId="57B18E25" w14:textId="04049EB1" w:rsidR="007B2711" w:rsidRPr="00F25B58" w:rsidRDefault="007B2711" w:rsidP="007B2711">
      <w:pPr>
        <w:spacing w:after="0" w:line="240" w:lineRule="auto"/>
        <w:jc w:val="both"/>
        <w:rPr>
          <w:rFonts w:eastAsia="Calibri" w:cstheme="minorHAnsi"/>
          <w:lang w:eastAsia="es-CO"/>
        </w:rPr>
      </w:pPr>
      <w:r w:rsidRPr="00F25B58">
        <w:rPr>
          <w:rFonts w:eastAsia="Calibri" w:cstheme="minorHAnsi"/>
          <w:lang w:eastAsia="es-CO"/>
        </w:rPr>
        <w:t xml:space="preserve">Según la última información publicada por la Superintendencia Financiera de Colombia, para el corte de </w:t>
      </w:r>
      <w:r w:rsidR="00E35F86">
        <w:rPr>
          <w:rFonts w:eastAsia="Calibri" w:cstheme="minorHAnsi"/>
          <w:lang w:eastAsia="es-CO"/>
        </w:rPr>
        <w:t>2</w:t>
      </w:r>
      <w:r w:rsidRPr="00F25B58">
        <w:rPr>
          <w:rFonts w:eastAsia="Calibri" w:cstheme="minorHAnsi"/>
          <w:lang w:eastAsia="es-CO"/>
        </w:rPr>
        <w:t xml:space="preserve">1 de </w:t>
      </w:r>
      <w:r w:rsidR="00E35F86">
        <w:rPr>
          <w:rFonts w:eastAsia="Calibri" w:cstheme="minorHAnsi"/>
          <w:lang w:eastAsia="es-CO"/>
        </w:rPr>
        <w:t>abril</w:t>
      </w:r>
      <w:r w:rsidRPr="00F25B58">
        <w:rPr>
          <w:rFonts w:eastAsia="Calibri" w:cstheme="minorHAnsi"/>
          <w:lang w:eastAsia="es-CO"/>
        </w:rPr>
        <w:t xml:space="preserve"> del año 20</w:t>
      </w:r>
      <w:r w:rsidR="00D1183B" w:rsidRPr="00F25B58">
        <w:rPr>
          <w:rFonts w:eastAsia="Calibri" w:cstheme="minorHAnsi"/>
          <w:lang w:eastAsia="es-CO"/>
        </w:rPr>
        <w:t>2</w:t>
      </w:r>
      <w:r w:rsidR="00E35F86">
        <w:rPr>
          <w:rFonts w:eastAsia="Calibri" w:cstheme="minorHAnsi"/>
          <w:lang w:eastAsia="es-CO"/>
        </w:rPr>
        <w:t>2</w:t>
      </w:r>
      <w:r w:rsidRPr="00F25B58">
        <w:rPr>
          <w:rFonts w:eastAsia="Calibri" w:cstheme="minorHAnsi"/>
          <w:lang w:eastAsia="es-CO"/>
        </w:rPr>
        <w:t>, los indicadores de patrimonio adecuado, tanto para compañías de seguros generales como compañías de seguros de vida presentan los siguientes resultados:</w:t>
      </w:r>
    </w:p>
    <w:p w14:paraId="51A70C97" w14:textId="77777777" w:rsidR="007B2711" w:rsidRPr="00F25B58" w:rsidRDefault="007B2711" w:rsidP="007B2711">
      <w:pPr>
        <w:spacing w:after="0" w:line="240" w:lineRule="auto"/>
        <w:jc w:val="both"/>
        <w:rPr>
          <w:rFonts w:eastAsia="Calibri" w:cstheme="minorHAnsi"/>
          <w:lang w:eastAsia="es-CO"/>
        </w:rPr>
      </w:pPr>
    </w:p>
    <w:p w14:paraId="38EE907D" w14:textId="23A61E4B" w:rsidR="00E345B4" w:rsidRPr="00F25B58" w:rsidRDefault="00FA307F" w:rsidP="00E345B4">
      <w:pPr>
        <w:spacing w:after="0" w:line="240" w:lineRule="auto"/>
        <w:jc w:val="both"/>
        <w:rPr>
          <w:rFonts w:eastAsia="Calibri" w:cstheme="minorHAnsi"/>
          <w:b/>
          <w:lang w:eastAsia="es-CO"/>
        </w:rPr>
      </w:pPr>
      <w:r>
        <w:rPr>
          <w:rFonts w:eastAsia="Calibri" w:cstheme="minorHAnsi"/>
          <w:b/>
          <w:lang w:eastAsia="es-CO"/>
        </w:rPr>
        <w:t>MARZO</w:t>
      </w:r>
      <w:r w:rsidR="00E345B4" w:rsidRPr="00F25B58">
        <w:rPr>
          <w:rFonts w:eastAsia="Calibri" w:cstheme="minorHAnsi"/>
          <w:b/>
          <w:lang w:eastAsia="es-CO"/>
        </w:rPr>
        <w:t xml:space="preserve"> DE 20</w:t>
      </w:r>
      <w:r w:rsidR="00695C70" w:rsidRPr="00F25B58">
        <w:rPr>
          <w:rFonts w:eastAsia="Calibri" w:cstheme="minorHAnsi"/>
          <w:b/>
          <w:lang w:eastAsia="es-CO"/>
        </w:rPr>
        <w:t>2</w:t>
      </w:r>
      <w:r w:rsidR="00A24098">
        <w:rPr>
          <w:rFonts w:eastAsia="Calibri" w:cstheme="minorHAnsi"/>
          <w:b/>
          <w:lang w:eastAsia="es-CO"/>
        </w:rPr>
        <w:t>2</w:t>
      </w:r>
    </w:p>
    <w:p w14:paraId="0EFC8BE4" w14:textId="098F63E7" w:rsidR="00BF44CB" w:rsidRPr="00F25B58" w:rsidRDefault="00BF44CB" w:rsidP="00E345B4">
      <w:pPr>
        <w:spacing w:after="0" w:line="240" w:lineRule="auto"/>
        <w:jc w:val="both"/>
        <w:rPr>
          <w:rFonts w:eastAsia="Calibri" w:cstheme="minorHAnsi"/>
          <w:noProof/>
          <w:lang w:eastAsia="es-CO"/>
        </w:rPr>
      </w:pPr>
    </w:p>
    <w:p w14:paraId="5CF83FA0" w14:textId="55A4D9AC" w:rsidR="00BF44CB" w:rsidRDefault="00BF44CB" w:rsidP="00E345B4">
      <w:pPr>
        <w:spacing w:after="0" w:line="240" w:lineRule="auto"/>
        <w:jc w:val="both"/>
        <w:rPr>
          <w:rFonts w:eastAsia="Calibri" w:cstheme="minorHAnsi"/>
          <w:noProof/>
          <w:lang w:eastAsia="es-CO"/>
        </w:rPr>
      </w:pPr>
      <w:r w:rsidRPr="00F25B58">
        <w:rPr>
          <w:rFonts w:eastAsia="Calibri" w:cstheme="minorHAnsi"/>
          <w:noProof/>
          <w:lang w:eastAsia="es-CO"/>
        </w:rPr>
        <w:t>A continuación se presenta</w:t>
      </w:r>
      <w:r w:rsidR="0051437F" w:rsidRPr="00F25B58">
        <w:rPr>
          <w:rFonts w:eastAsia="Calibri" w:cstheme="minorHAnsi"/>
          <w:noProof/>
          <w:lang w:eastAsia="es-CO"/>
        </w:rPr>
        <w:t>n</w:t>
      </w:r>
      <w:r w:rsidRPr="00F25B58">
        <w:rPr>
          <w:rFonts w:eastAsia="Calibri" w:cstheme="minorHAnsi"/>
          <w:noProof/>
          <w:lang w:eastAsia="es-CO"/>
        </w:rPr>
        <w:t xml:space="preserve"> gráfica</w:t>
      </w:r>
      <w:r w:rsidR="0051437F" w:rsidRPr="00F25B58">
        <w:rPr>
          <w:rFonts w:eastAsia="Calibri" w:cstheme="minorHAnsi"/>
          <w:noProof/>
          <w:lang w:eastAsia="es-CO"/>
        </w:rPr>
        <w:t>s</w:t>
      </w:r>
      <w:r w:rsidRPr="00F25B58">
        <w:rPr>
          <w:rFonts w:eastAsia="Calibri" w:cstheme="minorHAnsi"/>
          <w:noProof/>
          <w:lang w:eastAsia="es-CO"/>
        </w:rPr>
        <w:t xml:space="preserve"> con </w:t>
      </w:r>
      <w:r w:rsidR="0051437F" w:rsidRPr="00F25B58">
        <w:rPr>
          <w:rFonts w:eastAsia="Calibri" w:cstheme="minorHAnsi"/>
          <w:noProof/>
          <w:lang w:eastAsia="es-CO"/>
        </w:rPr>
        <w:t xml:space="preserve">la información del resultado del patrimonio </w:t>
      </w:r>
      <w:r w:rsidR="002F1C80" w:rsidRPr="00F25B58">
        <w:rPr>
          <w:rFonts w:eastAsia="Calibri" w:cstheme="minorHAnsi"/>
          <w:noProof/>
          <w:lang w:eastAsia="es-CO"/>
        </w:rPr>
        <w:t xml:space="preserve">adecuado tanto de </w:t>
      </w:r>
      <w:r w:rsidR="001A4BF8" w:rsidRPr="00F25B58">
        <w:rPr>
          <w:rFonts w:eastAsia="Calibri" w:cstheme="minorHAnsi"/>
          <w:noProof/>
          <w:lang w:eastAsia="es-CO"/>
        </w:rPr>
        <w:t>las compañías de seguros generales, como las compañías de seguro</w:t>
      </w:r>
      <w:r w:rsidR="00482D1E" w:rsidRPr="00F25B58">
        <w:rPr>
          <w:rFonts w:eastAsia="Calibri" w:cstheme="minorHAnsi"/>
          <w:noProof/>
          <w:lang w:eastAsia="es-CO"/>
        </w:rPr>
        <w:t xml:space="preserve">s de vida </w:t>
      </w:r>
      <w:r w:rsidR="007C70B5" w:rsidRPr="007C70B5">
        <w:rPr>
          <w:rFonts w:eastAsia="Calibri" w:cstheme="minorHAnsi"/>
          <w:noProof/>
          <w:lang w:eastAsia="es-CO"/>
        </w:rPr>
        <w:t xml:space="preserve">Cifras reportadas hasta </w:t>
      </w:r>
      <w:r w:rsidR="007C70B5">
        <w:rPr>
          <w:rFonts w:eastAsia="Calibri" w:cstheme="minorHAnsi"/>
          <w:noProof/>
          <w:lang w:eastAsia="es-CO"/>
        </w:rPr>
        <w:t xml:space="preserve">abril </w:t>
      </w:r>
      <w:r w:rsidR="007C70B5" w:rsidRPr="007C70B5">
        <w:rPr>
          <w:rFonts w:eastAsia="Calibri" w:cstheme="minorHAnsi"/>
          <w:noProof/>
          <w:lang w:eastAsia="es-CO"/>
        </w:rPr>
        <w:t>21</w:t>
      </w:r>
      <w:r w:rsidR="007C70B5">
        <w:rPr>
          <w:rFonts w:eastAsia="Calibri" w:cstheme="minorHAnsi"/>
          <w:noProof/>
          <w:lang w:eastAsia="es-CO"/>
        </w:rPr>
        <w:t xml:space="preserve"> de </w:t>
      </w:r>
      <w:r w:rsidR="007C70B5" w:rsidRPr="007C70B5">
        <w:rPr>
          <w:rFonts w:eastAsia="Calibri" w:cstheme="minorHAnsi"/>
          <w:noProof/>
          <w:lang w:eastAsia="es-CO"/>
        </w:rPr>
        <w:t>2022</w:t>
      </w:r>
      <w:r w:rsidR="00482D1E" w:rsidRPr="00F25B58">
        <w:rPr>
          <w:rFonts w:eastAsia="Calibri" w:cstheme="minorHAnsi"/>
          <w:noProof/>
          <w:lang w:eastAsia="es-CO"/>
        </w:rPr>
        <w:t xml:space="preserve">, cuya información </w:t>
      </w:r>
      <w:r w:rsidR="00506D6C" w:rsidRPr="00F25B58">
        <w:rPr>
          <w:rFonts w:eastAsia="Calibri" w:cstheme="minorHAnsi"/>
          <w:noProof/>
          <w:lang w:eastAsia="es-CO"/>
        </w:rPr>
        <w:t>s</w:t>
      </w:r>
      <w:r w:rsidR="00C842FA">
        <w:rPr>
          <w:rFonts w:eastAsia="Calibri" w:cstheme="minorHAnsi"/>
          <w:noProof/>
          <w:lang w:eastAsia="es-CO"/>
        </w:rPr>
        <w:t>e</w:t>
      </w:r>
      <w:r w:rsidR="00506D6C" w:rsidRPr="00F25B58">
        <w:rPr>
          <w:rFonts w:eastAsia="Calibri" w:cstheme="minorHAnsi"/>
          <w:noProof/>
          <w:lang w:eastAsia="es-CO"/>
        </w:rPr>
        <w:t xml:space="preserve">rá consideranda dentro de los requisitos financieros establecidos en los documentos </w:t>
      </w:r>
      <w:r w:rsidR="00FC1D98" w:rsidRPr="00F25B58">
        <w:rPr>
          <w:rFonts w:eastAsia="Calibri" w:cstheme="minorHAnsi"/>
          <w:noProof/>
          <w:lang w:eastAsia="es-CO"/>
        </w:rPr>
        <w:t xml:space="preserve">para el desarrollo del proceso de selección de compañías aseguradoras que adelantará la </w:t>
      </w:r>
      <w:r w:rsidR="00A5077F" w:rsidRPr="00457E41">
        <w:rPr>
          <w:rFonts w:eastAsia="ACaslonPro-Regular" w:cstheme="minorHAnsi"/>
          <w:b/>
          <w:bCs/>
        </w:rPr>
        <w:t>Universidad Distrital Francisco José de Caldas</w:t>
      </w:r>
      <w:r w:rsidR="00C450D9" w:rsidRPr="00F25B58">
        <w:rPr>
          <w:rFonts w:eastAsia="Calibri" w:cstheme="minorHAnsi"/>
          <w:noProof/>
          <w:lang w:eastAsia="es-CO"/>
        </w:rPr>
        <w:t xml:space="preserve"> en el año 202</w:t>
      </w:r>
      <w:r w:rsidR="00A5077F">
        <w:rPr>
          <w:rFonts w:eastAsia="Calibri" w:cstheme="minorHAnsi"/>
          <w:noProof/>
          <w:lang w:eastAsia="es-CO"/>
        </w:rPr>
        <w:t>3</w:t>
      </w:r>
      <w:r w:rsidR="00C450D9" w:rsidRPr="00F25B58">
        <w:rPr>
          <w:rFonts w:eastAsia="Calibri" w:cstheme="minorHAnsi"/>
          <w:noProof/>
          <w:lang w:eastAsia="es-CO"/>
        </w:rPr>
        <w:t>:</w:t>
      </w:r>
    </w:p>
    <w:p w14:paraId="06F7B7D1" w14:textId="7009F45E" w:rsidR="00092569" w:rsidRDefault="00092569" w:rsidP="00E345B4">
      <w:pPr>
        <w:spacing w:after="0" w:line="240" w:lineRule="auto"/>
        <w:jc w:val="both"/>
        <w:rPr>
          <w:rFonts w:eastAsia="Calibri" w:cstheme="minorHAnsi"/>
          <w:noProof/>
          <w:lang w:eastAsia="es-CO"/>
        </w:rPr>
      </w:pPr>
    </w:p>
    <w:p w14:paraId="48F0BDB9" w14:textId="56AB3A8C" w:rsidR="00092569" w:rsidRDefault="00092569" w:rsidP="00E345B4">
      <w:pPr>
        <w:spacing w:after="0" w:line="240" w:lineRule="auto"/>
        <w:jc w:val="both"/>
        <w:rPr>
          <w:rFonts w:eastAsia="Calibri" w:cstheme="minorHAnsi"/>
          <w:noProof/>
          <w:lang w:eastAsia="es-CO"/>
        </w:rPr>
      </w:pPr>
    </w:p>
    <w:p w14:paraId="4A31FA4C" w14:textId="6A7BAADC" w:rsidR="00092569" w:rsidRPr="00483BDA" w:rsidRDefault="00092569" w:rsidP="00092569">
      <w:pPr>
        <w:pStyle w:val="Descripcin"/>
        <w:jc w:val="center"/>
        <w:rPr>
          <w:rFonts w:asciiTheme="minorHAnsi" w:hAnsiTheme="minorHAnsi" w:cstheme="minorHAnsi"/>
          <w:sz w:val="22"/>
          <w:szCs w:val="22"/>
        </w:rPr>
      </w:pPr>
      <w:r w:rsidRPr="00483BDA">
        <w:rPr>
          <w:rFonts w:asciiTheme="minorHAnsi" w:hAnsiTheme="minorHAnsi" w:cstheme="minorHAnsi"/>
          <w:sz w:val="22"/>
          <w:szCs w:val="22"/>
        </w:rPr>
        <w:br w:type="page"/>
      </w:r>
      <w:r w:rsidRPr="00483BDA">
        <w:rPr>
          <w:rFonts w:asciiTheme="minorHAnsi" w:hAnsiTheme="minorHAnsi" w:cstheme="minorHAnsi"/>
          <w:sz w:val="22"/>
          <w:szCs w:val="22"/>
        </w:rPr>
        <w:lastRenderedPageBreak/>
        <w:t xml:space="preserve">Ilustración </w:t>
      </w:r>
      <w:r>
        <w:rPr>
          <w:rFonts w:asciiTheme="minorHAnsi" w:hAnsiTheme="minorHAnsi" w:cstheme="minorHAnsi"/>
          <w:sz w:val="22"/>
          <w:szCs w:val="22"/>
        </w:rPr>
        <w:t>10:</w:t>
      </w:r>
      <w:r w:rsidRPr="00483BDA">
        <w:rPr>
          <w:rFonts w:asciiTheme="minorHAnsi" w:hAnsiTheme="minorHAnsi" w:cstheme="minorHAnsi"/>
          <w:sz w:val="22"/>
          <w:szCs w:val="22"/>
        </w:rPr>
        <w:t xml:space="preserve"> </w:t>
      </w:r>
      <w:r w:rsidR="000803CE" w:rsidRPr="000803CE">
        <w:rPr>
          <w:rFonts w:asciiTheme="minorHAnsi" w:hAnsiTheme="minorHAnsi" w:cstheme="minorHAnsi"/>
          <w:sz w:val="22"/>
          <w:szCs w:val="22"/>
        </w:rPr>
        <w:t>Patrimonio Técnico y Patrimonio Adecuado</w:t>
      </w:r>
      <w:r w:rsidR="0004273A">
        <w:rPr>
          <w:rFonts w:asciiTheme="minorHAnsi" w:hAnsiTheme="minorHAnsi" w:cstheme="minorHAnsi"/>
          <w:sz w:val="22"/>
          <w:szCs w:val="22"/>
        </w:rPr>
        <w:t xml:space="preserve"> </w:t>
      </w:r>
    </w:p>
    <w:p w14:paraId="56CE7A2D" w14:textId="3E4B4CA9" w:rsidR="00092569" w:rsidRPr="00F25B58" w:rsidRDefault="002753EA" w:rsidP="00E345B4">
      <w:pPr>
        <w:spacing w:after="0" w:line="240" w:lineRule="auto"/>
        <w:jc w:val="both"/>
        <w:rPr>
          <w:rFonts w:eastAsia="Calibri" w:cstheme="minorHAnsi"/>
          <w:noProof/>
          <w:lang w:eastAsia="es-CO"/>
        </w:rPr>
      </w:pPr>
      <w:r>
        <w:rPr>
          <w:rFonts w:eastAsia="Calibri" w:cstheme="minorHAnsi"/>
          <w:noProof/>
          <w:lang w:eastAsia="es-CO"/>
        </w:rPr>
        <mc:AlternateContent>
          <mc:Choice Requires="wpg">
            <w:drawing>
              <wp:anchor distT="0" distB="0" distL="114300" distR="114300" simplePos="0" relativeHeight="251666432" behindDoc="0" locked="0" layoutInCell="1" allowOverlap="1" wp14:anchorId="5E94CF4F" wp14:editId="733322E2">
                <wp:simplePos x="0" y="0"/>
                <wp:positionH relativeFrom="column">
                  <wp:posOffset>-640080</wp:posOffset>
                </wp:positionH>
                <wp:positionV relativeFrom="paragraph">
                  <wp:posOffset>143180</wp:posOffset>
                </wp:positionV>
                <wp:extent cx="6770370" cy="6784340"/>
                <wp:effectExtent l="0" t="0" r="0" b="0"/>
                <wp:wrapNone/>
                <wp:docPr id="7" name="Grupo 7"/>
                <wp:cNvGraphicFramePr/>
                <a:graphic xmlns:a="http://schemas.openxmlformats.org/drawingml/2006/main">
                  <a:graphicData uri="http://schemas.microsoft.com/office/word/2010/wordprocessingGroup">
                    <wpg:wgp>
                      <wpg:cNvGrpSpPr/>
                      <wpg:grpSpPr>
                        <a:xfrm>
                          <a:off x="0" y="0"/>
                          <a:ext cx="6770370" cy="6784340"/>
                          <a:chOff x="0" y="0"/>
                          <a:chExt cx="6770446" cy="6784771"/>
                        </a:xfrm>
                      </wpg:grpSpPr>
                      <pic:pic xmlns:pic="http://schemas.openxmlformats.org/drawingml/2006/picture">
                        <pic:nvPicPr>
                          <pic:cNvPr id="30" name="Imagen 30"/>
                          <pic:cNvPicPr>
                            <a:picLocks noChangeAspect="1"/>
                          </pic:cNvPicPr>
                        </pic:nvPicPr>
                        <pic:blipFill rotWithShape="1">
                          <a:blip r:embed="rId24">
                            <a:extLst>
                              <a:ext uri="{28A0092B-C50C-407E-A947-70E740481C1C}">
                                <a14:useLocalDpi xmlns:a14="http://schemas.microsoft.com/office/drawing/2010/main" val="0"/>
                              </a:ext>
                            </a:extLst>
                          </a:blip>
                          <a:srcRect l="6466" r="5692"/>
                          <a:stretch/>
                        </pic:blipFill>
                        <pic:spPr bwMode="auto">
                          <a:xfrm>
                            <a:off x="43891" y="0"/>
                            <a:ext cx="6726555" cy="3467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25">
                            <a:extLst>
                              <a:ext uri="{28A0092B-C50C-407E-A947-70E740481C1C}">
                                <a14:useLocalDpi xmlns:a14="http://schemas.microsoft.com/office/drawing/2010/main" val="0"/>
                              </a:ext>
                            </a:extLst>
                          </a:blip>
                          <a:srcRect l="6938" r="10395"/>
                          <a:stretch/>
                        </pic:blipFill>
                        <pic:spPr bwMode="auto">
                          <a:xfrm>
                            <a:off x="0" y="3540556"/>
                            <a:ext cx="6731635" cy="32442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03BB18" id="Grupo 7" o:spid="_x0000_s1026" style="position:absolute;margin-left:-50.4pt;margin-top:11.25pt;width:533.1pt;height:534.2pt;z-index:251666432" coordsize="67704,67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kDKvAgAA1QcAAA4AAABkcnMvZTJvRG9jLnhtbNxVXWvbMBR9H+w/&#10;CL+3tuOvxDQpY11LoevCurFnRZZtUesDSYnTf78r2UmTtLBRxmB7iKPPe88590i6uNzyDm2oNkyK&#10;eRCfRwGigsiKiWYefP92fTYNkLFYVLiTgs6DJ2qCy8X7dxe9KulEtrKrqEYQRJiyV/OgtVaVYWhI&#10;Szk251JRAZO11Bxb6OomrDTuITrvwkkU5WEvdaW0JNQYGL0aJoOFj1/XlNgvdW2oRd08AGzWf7X/&#10;rtw3XFzgstFYtYyMMPAbUHDMBCTdh7rCFqO1Zi9CcUa0NLK250TyUNY1I9RzADZxdMLmRsu18lya&#10;sm/UXiaQ9kSnN4cl95sbrR7UUoMSvWpAC99zXLa15u4fUKKtl+xpLxndWkRgMC+KKClAWQJzeTFN&#10;k3QUlbSg/It9pP10sDNN8+edRRG7coS7xOERHMVICb9RA2i90ODXXoFddq1pMAbhvxWDY/24VmdQ&#10;LoUtW7GO2SdvPSiMAyU2S0aWeuiAnEuNWDUPEtBEYA6Wv+W4oQLBALBzO9yiYQt2lO4keTRIyI8t&#10;Fg39YBSYFo6S1+J4eei6R/lWHVPXrOuQlvYHs+1DixWkjL0X3eRIFRx/4phX1BrceCXJmlNhh+Ol&#10;aQespTAtUyZAuqR8RYGevq08QlwaTb4CYnfA8jSHekKuLJ9NHH6YtZpa0rq6OvA7vIMQBmyHVv1n&#10;WQFmvLbSwz6xXZpMZ3GAXrPeJM+ybDBQkuZFHHmJ9wYCdbWxN1Ry5BoAGnD6FHhzZ+zgtd0SB1ZI&#10;p6XH3YmjAYjpRjwHh3psAqWBCTT+HWeCmsfO9JV05flPnLnz3oEzZwk8RODMOEpm2Z+yJhxxsGWS&#10;pVGW5UPQ53sxifNkZ85Jmk5in/Zvm9NfovB2+Ht1fOfc43TYh/bha7z4CQAA//8DAFBLAwQUAAYA&#10;CAAAACEAhYSlrhZRAACwBgIAFAAAAGRycy9tZWRpYS9pbWFnZTEuZW1m5J1/lGRlmd/vMN0w4qBz&#10;cFsZJZyB3cYBBqz5PbAqM/zaiK20UKyzOaMBHBSyI5QKiCu4s4jp44oydOCPJCgjIUdPcLF6BIXs&#10;BvecICzChj1n+7jr+jM50axRfvSAe5Ls5pDvp+791tx5qbfeqql7sZNc+uG5z33e+3y/74/7rVu3&#10;arqXZFm2S7aksBMOz7JHD1NQbO27s+yWt2XZqnPfcR6t2ocflj13VJa90g0Kv/uILNsylmX/W4WO&#10;o1hp+8ePHJE13jOWqUC2RrZKpnKnLNm6JDtW+ytkh6340+9x2iWF0XaHbFpG2xO2jmXLtc923NZX&#10;dPd/QzV8vLH1sE4t0dC2+8zjtx7RzY1tzbr7xyu7THaCjHNf1Nbr2JHKrZB5c5tJHeA8DcPuY4p9&#10;2qws9lUuO7rYZyhfW+zLZb9W7OvczHU0dLu9r8O7367/rZCxjct68SxjlTkcp/bE3n798Cx7TCQO&#10;pQbzgS22Gm8UJ/oINzbGm81jyHGPCTmPFW2mZDtl7hvr/YMkiu0jiq/S/vHZcz4kv/vMA0F5/8DR&#10;8p4x/r0mj9pg3Cnv+CHtN2RVYVAbjDl5MIjBeK1sFAyPM2u4s+3OnceZ4x7nTLnuOGv/ROWOlS2V&#10;HbTtPjBP5N4gWyH7hIp9Xn5TEd9cxK6TX9MH5lzNuvNNbkrGvLrOJ4vzHR+uHHM+yni43yHvL6iu&#10;eYNL7LYhN3I3FW3gRqwpq43bXaptbuASx7iR+4OiDdyI4V/XuO1VbXMDlzjGjdzuog3ciJmHurh9&#10;UbXNDVziGDdyv1+0gRuxXG3c7lZtcwOXOMaNHJzKfkmF3Ki1WrZcJphsEM0w1/J19DOdXL7+ny1i&#10;ty1fR277TNHG8eHCh0/V1zj1y9c4uLFr3G2fLto4Hq+RW/kaBzd2jcOF3C8K77iua5z6e4XntQou&#10;cWxOyf28aONz67rGqc91am7gEse4kfvvRRufq7C29XZ3iRu4xDFu5OBU9lwHWBXXAnWquMabmszy&#10;Nf5PirhXv9z2d4o2juu6xqlfvsbBjV3jbru9aON4vMIxV+nuvRH1y9c4uLFr3G3fXbRxXNc1Tv29&#10;4urrCFzi2JyS++2ijc9VWNlapZbvKanPdWtu4BLHuJG7uGjjc3VZ1caN69XcwCWOcSMHp7LnusQW&#10;0zV+shZa+RpvFHGvfrntm4o2juu6xqlfvsbBjV3jbnta0cbxeIVjrunsrlXql69xcGPXuNueWrRx&#10;rLCy9RBy26vaXqvgEsfmlNyaog3ciKlX1VoNuXHdmhu4xDFu5E4p2sCN+DDZElkV11HIjevV3MAl&#10;jnEjB6eyh1dV3KhTfh33e/d+z0jmdM5Vsm/J2Iivlk3IRhkvv1/neQU1eX4BhmOeX4yKMch7EY9B&#10;tvvg5xeTwuc9TXk+v6J4n8zzyT7mtpq67nMIt6VvtHGsblY2nyG3r6m2uYFLHONGrl20gRvxuGyJ&#10;bJR5Nd5S1fHrMPXvl5lbu4jdNhw32n61aONzaVMXtwdU29zAJY5xI3df0QZuxPS1Lm5fV21zA5c4&#10;xo3cHxVt4EZ8mKwubt9QbXMDlzjGjRycyh5eVXGjzrDa9i2dg7Z9V8ZGXKW23ajBp+bDWiBgOD5L&#10;ZCcUj3KdTen8nbKTdGGAgX6C4fh8YY+K8UbVQx9ZQ51td+4m5ZbLOD6sfj6qc7xm9mmf2PW4xt0v&#10;1gq5ucI7PlxxVWsm1KjHVNvcwCWOcSPXLtrAjXhcVhe3P1Ntc2trnzjGjRw6hocbvk79fFz1zQ1c&#10;4hg3cugYHm74OvXz26pvbuASx7iRQ8fwcMOzxuua0ydU29zAJY5xIwensodXVdyos1q2XFa+rmP3&#10;htbNBbV/Wub4Zu1PyKrQNvTyu6qFfoLhuGr9BIP7TjDQT+JZDcio/Xij6hwjYzw72+7ceY7L45wp&#10;t1Jpxp99twk16m+U9prZp31itxX1g/ST3FzRhrVDfLiMuR5lfowXcvue6pobuMRuG3Ij1y7awI14&#10;XFYXt++rtrm1tU8c40YOHcN/pfDwr4vbD1Tb3MAljnEjh47h4YavUz9/qPrmBi5xjBu5PyrawI2Y&#10;NV7XuP1Itc0NXOIYN3JwKnt4VcWNOsPoJ+2fll0FBwJtxFfLJmSjXJ9TOn+nzJrGvSEYjh+qAKMO&#10;bXtGvDyfaBtxbD7JzRVtmFdidbOy+Qy17VnVNjdwiWPcyLWLNnAjHpcxzaPMq/FCbs+prrm1tU/s&#10;tqHukvuqDA83fJ3atqD65gYucYwbufuKNnAjrlPb9qu+uYFLHONGDo3Bww1/mGyJrI45fV51zQ1c&#10;4hg3cnAqe3hVxY06w2oberOg8yY4WRsxYzYhG2W8pnQ+2sa9IDW5NwTDcdX3hmCgn2Bwb0i8WN9b&#10;HyZuXjP7NEbEsTVDbq5ow9ohVjcrWzOaloOe/y1VfXMDlzjGjVy7aAM34nF5uZHWjvFCbmMqbG5t&#10;YRC7baif5NAxPNzwdernuOqbG7jEMW7k0DE83PD0Va6WcTtchc0NXOIYN3LoGB5u+Dr18wjVNzdw&#10;iWPcyMGp7HWosnGj1rD6OaGTFnTeSZysjbhq/aQm+gkG+kl8lmxCeFVoNHpJTfQTDMeLVT9fK45e&#10;M+gncWzNkJsr2rB2iNXNytZMqFGvU31zA5c4xo1cu2gDN+JxebmR5tV4IbdjVNjc2sIgdttQP8mh&#10;Y3i44evUz5Wqb27gEse4kUPH8HDD16mfr1d9cwOXOMaNHDqGhxu+Tv18g+qbG7jEMW7k4FT2OlTZ&#10;eqPWsPp5kk5a0Hlv4WRtxFXrJzXRTzDQT+Kq9ZOa6CcY6CfxYtXPk8XNawb9JI6tGXJzRRvWDrG6&#10;WdmaCTXqFNU3N3CJY9zItYs2cCMel5erRT/XqLC5tYVBHONGDh3Dww1fp36eqvrmBi5xjBs5dAwP&#10;N3yd+nma6psbuMQxbuTQMTzc8HXq55tU39zAJY5xIwenstehytYbtYbVz7fopAWddwEnayNGP18j&#10;q+LeEL2kJvoJhmP0syoM9BIM9BMMx+jnqBh1PP98qzh6zezTOBPH1gy5uaINa4dY3axszWhaDnr/&#10;fqbqmxu4xDFu5NpFG7gRj8vLjbR2jBdy26rC5tYWBrHboo1Tsp0yuJBDx/CO69TPbSVu4BLHuJFD&#10;x/Bww9NXuWyUa8544bhxrXncwCV223DcyKFjeLjhdRnVxu1s1Tc3cIlj3MjBqex1qDJu1BpWPy/Q&#10;SQs6732crI14v/yEbJS5nNL5rGX0kproJxiOmZeqMNBLMNBPMBwv1vvPaXH0mkE/iWNrhtxc0Ya1&#10;Q6xuZnIjzY/xwmvtXSpsbuASu214rZFrF23gRjwuL5eNsnaMF3K7UIXNrS0MYrcNuZFDx/Bww9NG&#10;rhZuF6mwuYFLHONGDh3Dww1PX+Vq4dZUYXMDlzjGjRw6hocbvk79vFj1zQ1c4hg3cnAqex2qbNyo&#10;Nax+vk8nLei8j3KyNuKq9ZOa6CcY6CfxWbIJ4Y1ynU3p/J0y9JKa6CcYjherfu4UR68Z9JM4tmbI&#10;zRVtWDvE6mZlaybUqMtV39zAJY5xI9cu2sCNeFxebqR5NV7I7f0qbG5tYRC7baif5NAxPNzwdern&#10;B1Tf3MAljnEjh47h4YavUz+vUH1zA5c4xo0cOoaHG75O/bxS9c0NXOIYN3JwKnsdqmy9UWsY/bxK&#10;7T+qkxbkPyPv+GbFE7IqtA29BAP9BMNx1foJBvoJBvpJvFj183px85pBP4lja4bcXNGGtUOsbla2&#10;ZkKN+pjqmxu4xDFu5NpFG7gRj8vLjbR2jBdy+z0VNre2MIjdNtRPcugYHm74OvXz46pvbuASx7iR&#10;Q8fwcMPXqZ83qL65gUsc40YOHcPDDV+nft6o+uYGLnGMGzk4lb0OVbbeqDWMftL+M/ofunkXgTbi&#10;q+UnZFXoJ9/FpCbaBobjxfrdzFvE0fOJthHH5pPcXNGGeSVWNyubz1A/Pqv65gYucYwbuXbRBm7E&#10;morauH1O9c0NXOIYN3JoDB5u+Dq17VbVNzdwiWPcyKExeLjh69S2PapvbuASx7iRQ2PwcMPXqW23&#10;qb65gUsc40YOTmWvQxk2io4YjzrDattdOglt+xonayOuWtuoibaBgbYRL1Zt2ytunk+0jdjjG95/&#10;kJsr2jCvxOpmJlfJfIba9kUVNjdwiWPcyLWLNnAj1tDXxu1u1Tc3cIlj3MihMXi44evUtn+j+uYG&#10;LnGMGzk0Bg83fJ3ado/qmxu4xDFu5NAYPNzwdWrbv1V9cwOXOMaNHJzKXocqW2/UGlbbvqaT0LbH&#10;OFkbcdXaRk20DQy0jXixatv94ub5RNuIY/NJbq5ow7wSq5uVzWeobQ+ovrmBSxzjRq5dtIEbsYa+&#10;Nm5fV31zA5c4xo0cGoOHG75ObfuG6psbuMQxbuTQGDzc8HVq24Oqb27gEse4kUNj8HDD16ltD6m+&#10;uYFLHONGDk5lr0OVrTdqDattj+mkBZ33PU7WRrxffkI2yr3klM7fKeMZHjV5pgeG47O0XxUGz/DA&#10;QD/BcLxYn+n9mTh6zaCfxLE1Q26uaMPaIVY3K1szoX4+rvrmBi5xjBu5dtEGbsTj8nIjrR3jhdy+&#10;rcLm1hYGsduijV5zcCGHjuEd16mfT5S4gUsc40YOHcPDDV+nfj6p+h43cIlj3MihY3i44evUzz9X&#10;fXMDlzjGjRycyl6HKltv1BpGP69S++/ppAX5Z+Ud36x4QlaVfoKBfoKBfhJXrZ/URD/BQD+JF6t+&#10;fl/cvGbQT+LYmiE3V7Rh7RCrm5WtmVCjfqD65gYucYwbuXbRBm7E4/JyI60d44XcfqjC5tYWBrHb&#10;hvpJDh3Dww1fp37+SPXNDVziGDdy6Bgebvg69fPHqm9u4BLHuJFDx/Bww9epn/9Z9c0NXOIYN3Jw&#10;KnsdyrBRtMp41BlGP2n/rP6Hbi5lkLQRXy0/IRuF05TO3ynjvTQ10TYwHC/W99bPiavnE20j9viG&#10;1yi5uaIN80qsbmZyI42d8UL9WFBhcwOX2G1DbuTaRRu4EWsqauO2X/XNDVziGDdyaAwebvg6te15&#10;1Tc3cIlj3MihMXi44evUthdU39zAJY5xI4fG4OGGr1Pbfqn65gYucYwbOTiVvQ5Vtt6oNay2oTdo&#10;2+sYJG3EVWsbNdE2MNA24sWqbWPi5vncp/Egjs0nubmiDfNKrG5WNp+hto2rvrmBSxzjRq5dtIEb&#10;sYa+Nm7682hdbuASx7iRQ2PwcMPXqW1HqL7HDVziGDdyaAwebvg6tW2Z6psbuMQxbuTQGDzc8Pqp&#10;bU5foeLmBi5xjBs5OJX9r1rbXidOC+J0ijwb8X75CVkV9228z6Um73vBcHyWOl4VBu9zwUA/wXC8&#10;WN/3HiOOXjP7NM7EsTVDDh3Ds3bw6mZt63ml6psbuMQxbuTaRRu4EY/La2pHWjvGC7X99SVubWEQ&#10;u21430oOHcPDDV+nfr5B9T1u4BLHuJFDx/Bww9epn8eqvrmBSxzjRg4dw8MNr5/a5vQfqbi5gUsc&#10;40YOTmXPWqtqvVFn2HvDU8RpQeedKc9GvF9+QlaVflIT/QTjRhlx1fpJTfQTDPST+HzZqP2o499C&#10;rxEvr5l9Gmfi2JohN1e0Ye0Qq5uVrZlQo05VfXMDlzjGjVy7aAM34nF51uEoa8d4IbfTStzawiB2&#10;21A/yaFjeLjh69TPN6m+xw1c4hg3cugYHm74OvWzofrmBi5xjBs5dAwPN7x+apvTtSpubuASx7iR&#10;g1PZs9aqWm/UGVY/zxSnBZ13kTwb8X75Cdko18CUzt8pu1H1qIl+guG4av0EA/0EA/0kXqz6uVXc&#10;vGb2aYyIY2uG3FzRhrVDrG5WtmZCjdqm+uYGLnGMG7l20QZuxOPyrMNR1o7xQm5nlbi1hUHstqF+&#10;kkPH8HDD16mfZ6u+xw1c4hg3cugYHm74OvXzHNU3N3CJY9zIoWN4uOH1U9ucnqvi5gYucYwbOTiV&#10;PWutqvVGnWH18yJxWtB5H5BnI94vPyEb5RqY0vnWT2qin2Cgn8RV6yc10U8w0E/ixaqfTXHzmtmn&#10;cSKOrRlyc0Ub1g6xulnZmgk16mLVNzdwiWPcyLWLNnAjHpdnHY6ydowXcvvtEre2MIjdNtRPcugY&#10;Hm74OvXz3arvcQOXOMaNHDqGhxu+Tv3crvrmBi5xjBs5dAwPN7x+apvT31FxcwOXOMaNHJzKnrVW&#10;1XqjzrD6+QFxWtB5H5dnI94vPyEb5RqY0vnWT2qin2Cgn8RV6yc10U8w0E/ixaqfV4ib18w+jRNx&#10;bM2QmyvasHaI1c3K1kyoUVeqvrmBSxzjRq5dtIEb8bg863CUtWO8kNs/K3FrC4PYbUP9JIeO4eGG&#10;r1M/f1f1PW7gEse4kUPH8HDD16mfu1Tf3MAljnEjh47h4YbXT21z+kEVNzdwiWPcyMGp7FlrVa03&#10;6gyrnx8XpwWdd6s8G/F++QnZKNfAlM63flIT/QTjRhlx1fpJTfQTDPST+HzZqP2o4/nnDeLlNbNP&#10;40QcWzPk5oo2rB1idbOyNRNqFPNjbuASx7iRaxdt4EY8Ls86HGXtGC/k9okSt7YwiN021E9y6Bge&#10;bvg69fP3Vd/jBi5xjBs5dAwPN3yd+rlb9c0NXOIYN3LoGB5ueP3UNqd/oOLmBi5xjBs5OJU9a62q&#10;9UadYfXzVnFa0Hn3yLMR75d/rWyUa2BK51s/qYl+gsE1Rox+VoWBXlIT/QTDMfo5KkYd+rlHvDZp&#10;fFbI9smIY2uG3FzRhrVDrG5WtmZCjbpN9c0NXOIYN3Ltog3ciMflNbUjrR3jhdxmS9zawiB221A/&#10;yaFjeLjh69TPf6H6HjdwiWPcyKFjeLjh69TP21Xf3MAljnEjh47h4YbXT21zeoeKmxu4xDFu5OBU&#10;9qy1qtYbdYbVz3vECd15VJ6N+COKN2p/FP28UOe3RIiyz/OHbkvbnxRYOrRqW/bh7Mrs0mxXKT/s&#10;7hmvWvLIJS/cf+zu8RdYhtp2b1uh/zMWbA3Z6v/w1JrV33xqzV4PuI61rn146d996cTryB9Z2Ony&#10;xM2/v3rso8f+pZi/+OLedyv/l0dm/+O/NI9VKjvjVY90jxP7nGUffXhp490/vWzFk+8dW6H9+1Uf&#10;u+YTv3Ed/lZ5t4dzgyA7UGvJI0sy94H+0OZvdd4ZqnmMaj6x/aeXgcFZf/3Ee8eee+Sua3dely0j&#10;9ppjaN8uWyFjG5f5NYB9NpHveJ/Dce8fpcE7QfHyvN2Lx8sD4Dz1vc9QrpTRlu0YWXFedlwRXy1/&#10;ouxe2abimNv7XPgcrRzHqdks7EPynHuNbKMMbG/O0X7KBwvfmRz9b1rxKhm6ac70z/vUC8fKufHg&#10;nBMUF30beEzol8dEp3fHBM7Yrx+uf68rEhdqv6UDCrNfclJp20PDfKvpWrlk26tUf3UB0pDf+vhT&#10;a7Y+Mey18uPOsHeulR//33GtMN6e71/VWuB90VXi8bfyd8ofLStfB3sUf7po8yP5jyuW627kdil6&#10;pWyqezTf6UyI/rdT4XS2TdfVhdnbsndkF2TvlL8gW6XjryiMa5x9rhVqoYeO2ed4U3a97F8J80b5&#10;p+RvkS/zce4IHY/x2aHcWeJzkVicHfAwJr6Me7Pizwnoc/Lfkf/X8mVc5zgvhnuJchdoDM4R7juF&#10;z2hcoGPuaxmbfcfkvU4Wg378TB1nzVykV4I75Y+WLZchFczRHtkLRZvz1SZcM+R2qc3LuWbGxYM1&#10;c4b8LfKi0N2cq2PN/C8BsWa2CjdcM86l1sy2zoo5u7NaWDdTqldeH+V14uNcT4tpzTTVf9YMdw93&#10;yh8tWy4rr5l/qtw1OvaA/Cfly3Pk3Mu1ZrjeLxePT8nfK397wMe5/x/m7pvqP3PHc4HY3H1bbZi7&#10;VWrzyWCsnHu55o7XiL8SH+bu1eJze8DHudT13swe1+sDr1W8SuT3oX6d8jWHX2z6fLL6zHzdLh+b&#10;r43KXaM2n5EP58u5l2u+bhCP3xQP5usm+dvly9e+c4z9lKy8+R5jhw6ik+dqri7u7F3Q1cjynFkf&#10;F9uc3aF+M2cvyveas5uV+7Jy18g/Ix/OmXMpPTo3264ROlf3Ptx/YT99sTw+3md8BHPQPdD1ir+i&#10;g8zTf5O/Xb48T86lritm6bzOTDU71xWcwbU5XmxzxJtZ5uhS+dgcvVq5a9TmYvlwjpxLzdF5GpV3&#10;ai0zO4zVqmJsGA/OxTw/HitNR+fe6wZ5cD4l/y75cI6cY6ynZOWtfC39Vuf+dJt4NLM/134Z2xyo&#10;AS7xpGy5bDHcn16mfjNP/Dvc2DztUo552icfzpNz9Cs2Rpco99JrKV/D5fFh33Nl39Sx62UtYX9K&#10;/l75cJ6c+3/1WlqifmN+BvF27a+QsWk4uuupvM/aOkE51hlr9Xh51uBkcQwt8j61VxbH1TT6HOTz&#10;agOHOfmji/acyxxdIrtXRe+Sf0j+PnkwvDm3VAdi64Q6q7O12UnyYzLmE2+e4fVi3Nep6F7ayX9V&#10;vozrXBp33UtwXf+mov6eHvWdS9df37M+19x/KuqvVGdD/s6p79Fxu0K51dkG1V+VvUXGGJ6SrZO9&#10;FJPxtBaxzxgTlz3Hm7JLZNsV7JV/v3zIzbl03zf27Pse1b2vqP/THvWdS91brdbTygN935CdqieQ&#10;4RpS+Zf0m2NeY03tMxevHM/7y2tS2F/n0nOxucRnY3ay5qahVXyS7h/KmL04CbbDCV5lDdyj+MMF&#10;t3/Xg5tz6bHaUuLGWMH14OutF68y71+V/qA11sBJ7aNtPBc8uti3Fm1XPCP7hmxW9oisrAnOcSym&#10;RdPKrdX1Q32sKaPu4zLqzsvCus6l6jZU2XUvVJ2WiB8hH372socO5duqqj572f5M9Z+9vPnVt3Vu&#10;hzrPk287Mlv1X5vHQvvl+OyF/hzKZy+MN3N6vexBTdgD8j+RD+fUOdrH1soO5dZmW2RrtGLW6mr/&#10;6Yu0t42V9o0LNs/7wJ2WD3GdYwnEcKeVa8hcc5f27yxq/nGPms5JPqI1WeOb1Y/TVbmhfWr34s+4&#10;/c8C60Q1CPk7x/kx/h6304W3TuO2vsDjnH64O4XHuN3WA9e5NO56zdMa9XFt5/MqY8ZwW8L7ToH7&#10;Dz1wneO6jvWXsd2o/9YI83T9Z0yV6+5zrClrybZooujne+UfkUdXvDmXxlsvvE3q56YuRi885vMP&#10;C7xv9MBzDn6x/uXzub7TQxC3qK37iA9xJ3VsuaysrzOKvy2blf2VrNxn5zgW4zCtXEy3qTsvC+ui&#10;2+RSdRvqWajby3TeAjfNpa2s22d3Pi+/Mrus89l5qdGQu0eo/fyZ9z6547aHl/7FTR94zz/oM+Xm&#10;noeXYlfo2NU/3vqeO99675NbZh9eyufNn1b8F6ccNXbF8g8cC9RqtfHLyT2K2XdM7e3FQOO//Pyl&#10;nXO+r+P59uazlmuH2v7M/GOKVxbZLMvzrG+2D8kOzncOZ0fkgC/+8Xmv3LRWh+BxjHiVPzMHg9ax&#10;z8wZ76bsehna/Jg8uv3X8kUXtHcgR9+mOkcO/K/zYqX/7dChtbou0J/TtQcn2tvGSvscAxdDmx+T&#10;R7dDXOfoagx3WrmGzDVb2r+jqIluhzWdS13r9AVtQdP69YGxQ5/pw4nqZIjnHDVifcjHbksHEbx1&#10;amtMfK+xAxd9BhftDnGdS+M2Oq9R6/WKsXkA3JbaoM/got0hrnOp8d0sRUNLN0sH4IipXHefuClr&#10;ydBn8NDuEM+5FN4GjSorE0Xth8e4os/god0hnnPU6D+fG4TFa+Lm5LhOqtZyGX2gz9tlM7IfymZl&#10;P5eVr0fnOBbjMK1cTLupOy8L66Ld5FJ1ef2DK2buy7QPd8YPLfmePFryC3nqeXMuNX7rhMEVuFlz&#10;drpOpr1trLTPMXAx9AJctCTEde5QtISaaElYEy0hl1p769SL/D6l0bcPjB16QU20JMRzLj12rHNW&#10;+5aBxg5c9AJctCTEdS6Ny3tz7j8bA+G2hIdegIuWhLjOpcZ3Y6e3KEr/8QUPvQAPLQnxnEvhnd5Z&#10;mdyTbUjOJ3oBHloS4jmXGlfucP0+YqNq0d6mYevuc2xStlxGH5qy7bIZ2X7ZrIybq/L16BzHpmTl&#10;za/t0zoY0xLqzsvCumgJuVRd9BGumLkv0z7cW7JvqsCz8mgJN1k4b86l5muDxo9VuUX/xcYNPAyd&#10;AA8NCfGcG0ZDqPlAURMNCWs6l6551Fq4e1x4sYQnOhHWdK6qcWkJ4ncLPPQhxHMuhZfrIPcZm/vO&#10;A3hc+/QPXQjxnEvj8RQhvxvtN+/gce2Dhy6EeM6l8LhbBG9j4p4RvNsKPHQhxHMuhbde65mnJIxo&#10;rH+TKt9LDw7XgptV7jXBNTWjY+S4zg5FDzh3vkdd9GCQuqgq/cbMPdQD3nyhB78WcEcPyKXGjXsK&#10;5ol7wti4NYWPcc1TEz0I8ZxTuu9YNZQHh3q7ZDw7oiZ6ENZ0jmURG380PX/eslGvRLvPpPaYzH0x&#10;VkvHSICFToRYzqXGa0txN8GrkDFieGgBeOhEiOdcCg+lXqMeDqoT4KETIR46QS6Flz9H2ti5b0n1&#10;Dy2gJjoR4jmXwuPdMdctypTCQwvAQydCPOdSeJvVs/y5VXz+JrVUeunE64WNTrxRHk3wNqMdchyL&#10;rdNp5WL3DZw7r3xYF50YpC53mPQbM/dQJ14nDHRidcAdnSCXGjffV25M3Oc1xQEtoCY6EeI5p3Tf&#10;sWpkX97GeqCedYKa6ERYE50gp2URrYlOcN/I+7W12qe2LonumjNWS8dIUA+dCLGcS40XzynX6Nrl&#10;qT21++GhBeChEyGecyk8FCJ/h52+jtAC8NCJEM+5FB5rmXekGwboH1oAHjoR4jmXxkMHt3TuXFPj&#10;iRaAh06EeM6l8DZo5vJ3jfHn25Oa1146cZqwZ5X7TXk0wduMdshx7FB0gnPndW5YF50YrO6GpE6c&#10;Igx04s0Bd3SCXGrc1nfeD6Lm8XFrii+GFlATnQjxnFO671g1lGc9UM86QU10IqyJTpDTsojWRCf4&#10;JIXX+U3a73fdogXUQydCLOdS45U/i+PJX//7r5a4oAXgoRMhnnMpPF5p1witof71u44Yyx8UeOhE&#10;iOdcaixRiXXSiNMTY4kO0Dc0IsRyLtU3PnFj5nhu3K9vjCU6AB4aEeI5l8LjuVzqPc6ksHppxFZh&#10;zyr3Dnn0wNuMdshx7FA0gnPndW5YF40YrG7vZxBv1/krZGwassz9Ku/zPaoTlKO/PC85Xp77ELct&#10;74vmQN8Ne6sa8t2MC+SP1jnU5tym7HoZz1Bpg2a9U16uu5F7i46xFmJjuUM5Xsu4Krg3WKfYawev&#10;pX9QDC6GPoGLdoW45MDVTxR3WrmGDAzqXSL7UlET7QprkqOmXLQmdTaoD1vky33gOGPFM1M4o1dh&#10;fXLDjBX3g40AR2V74vLMFFx0K8QlNxhu/k6B7w9sCHBU4iW4LR3jXgZc9CvEJQdu+hrnvop1EX+/&#10;0BQWeOgUeGhYiEduEDzup7ivAtFzKKrdfa8X8NAp8NCwEI/cIHi888/x4t8b+FVd++raUN/LauqE&#10;WZ1zqXxZB2Z0jBzHYjowrVzs/Rnnzisf1kVTB6sbf45jDXuXMNCwywLuaBg55j3GHQ3boKueO9Z1&#10;eg3cUDwH6bd+WLPoFLXRsBDXOaWjuNPKNWRek9TkGS410bCwpnPD1LRuURPdCmuiW8OPz8HXk8q+&#10;5PoCF22iNroV4jqXmpf1mpH8CQdP9x/svKftNy/gPlXgolshrnMpXO6F/GRvs74yZ0y8yvbs71pp&#10;Bv1Fv0Jc59K4+RMr7mfXBzgxXD77ARcdC3GdS+HyWTZPdjYLdW0Cd1L55TK0vynbLpuRXSEOs/LX&#10;yqMV3pzjWOwanFYuph/UnVc+rIt+kEvVXaeewRUz92XahzvrBY24XHXQj+sC7s6lxo9vWnA3y73z&#10;RtWkva3XvIGNRoCLfoS4zindd8waBQ71WrI7iproR1jTudRrdvlOoV8fGDv0gz6gLSGec+mx41MH&#10;3gnw6WT6WqOfvF8DF20JcZ1L9TN/ds/71EbfuQKP+x3w0JQQz7kU3ka9xvDeEd9vXMHjfgc8tCTE&#10;cy6Fx5U8yDMm5hGdAA8NCfGcS88j7wD4dgLvxw+sf87TsHX7TDwp66UhN4jDrHKflue69jajHXIc&#10;OxQN4dx5nRvWRUMGqct7cMYbM/dQQz4mDDTkDwPuaAi51Pit0+pn/Pjmw/rs2LNpbwvHr6kchk5Q&#10;Gw0JcZ1Tuu+YNZQHxzW5z6AmGhLWdG6Amp3XTGpaJ6iJToQ10Ynhx+efn+Wxwatsd6zcF3C5z6A2&#10;OhHiOkf72JraoRz3hOgT39HYEOD0wm2pDZoALnoR4jqXvn6tF/H3Fk1h0U/uL8BDL0I851L95DNn&#10;njfxOrxZNWlv69VPcNEGcNGNENe5NG7+HaP8e1oHMDkvxJ3UsV66sUccZpX7vDwa4W1GO+Q4Fpvj&#10;aeVi9x6cO698WBfdGKQuayelG58VBrrxhYA7ukEuPX75Kzb3buvEi/a2cPyaymFoA7XRjRDXOaX7&#10;jllDeXBcE22gJroR1nRumJrWDWqiG2FNdKOO8WmpT9xDUBvdCHGdS12/6Dmv94N8hoUmgIdehHjO&#10;pfD4dId3sPybl37zT/+4hwAPvQjxnEvh5auO58X9P6sA77YCD50I8ZxL4fHtTe4S0YlY/yaF1Usf&#10;7lFfZ5Wbk9dl1d1mtEeOY4eiD5w7r3PDuujDIHXpC/3GzH2Z9psy1j8a8EVhoA/7Au7OMRYx7juU&#10;4x0lT/ZZjxsVe+zwWm4HxeBiaAC46EOI65zSUdxp5RoyMKjXkt1R1EQfwprOpdZAvub4Zk//53vW&#10;DvqAdoR4aAe59Njl92T5N83y78d4/FT2JWMHLvcV1EY7QlznUri8HvFkkbnbFODEcHm2AS4aEuI6&#10;l8blySnvY3k3dnD/euG21Aa9ABctCXGdS82rvx/Bu+fU+HJfAR5aEuI5l+on9/P5N1k2aaRv6nsv&#10;Oak+9tKUB8VhVrlvyaMf3ma0Q45jsetyWrnYPQfnzisf1kVTBqnLs3bGGzP3UFMeEAaa8mjAHU0h&#10;lxo/rr/8Pfvm7nXeb96a4oJuUBtNCXGdU7rvmDWKZ7PUw7ivoCaaEtZ0Ll0z7y/1rBvURDfCmujG&#10;8OPzYvLfnVo3qI1uhLjoxiC4POviPWT+jbBb+q5r9xdtoDa6EeI6l1oPPEPhaQPvlE4f4Pl5S2ON&#10;NoCLboS4zqV0g8+z8mcq/T9fYnzRBvDQjRDPuVQ/ucdm3fP9lg2q6TWP1/AdFE8q7qUbT4rDrHLf&#10;lUcjvM1ohxzHDkU3OHde54Z10Y1B6nJ/kNKNx4WBbvxNwB3dIJcaP0bP/64jNX5N8cbQBmqjGyGu&#10;c0r3HbOG8nCj3i4Z32WhJroR1nROyyRac7ty3FPxpMv9GNMxMGxgWU/AQk9CLPRk0HEDjzu4LQNc&#10;X9YTaqMnIS56Mggur5P5Fcbr5IG+0UeV6PbVYwsumkFt9CTEdY72sTW+QzleG+kvOrYxwOmF21Ib&#10;NANc9CTEdS6tJ6gnKjrYfQh46EmIh54MNr75U2h0JTW+k+rjchl9aMpYgzOyH4vDrPzT8miHN+c4&#10;FhvraeVi9yHUnVc+rIuekEvV5RsOMT1pqQbfifuB6qAnzwTcnUvNF/PEEyve4bCmsF7rg/FCK8BD&#10;R0I855TuO1a97j+oiY6ENbn/IJeumfOGY0tGBzgPvQhrOlfVuOwS3IcLPHQixHNOyzk6LqxDnlTy&#10;jmFjoU0q1Z0P5qQpa8m+U2ChDSGWc6m+5f+emvvPRhejFx59O1PEGUs0IcRzLtU3nonyryM2qV5s&#10;fdE3nmOAhR6EWM6l+pZ/2s13rOPPfCeF1UsHXhD2rHJLdD3pp7vNaI8cxw5FBzh3XueGddGBQeqi&#10;bPQbM/dl2m/KeL3g3mFBGOjAYZiOeXOOcY9x36Ecq4GnQ/n3BQ5ee73WBthc8+CiByGuc0pHcaeV&#10;K+tBSzHPMaiJHoQ1nUuvAXqSfyOFfsfWHGPH/QN4aEWI51xq7NDp/NvhDY1jeuzA5f4BXDQjxHUu&#10;hcsa59WW9/6bB8Tl/gFc9CPEdS6Ny6f1vMpvEna6vy214f4BXHQkxHUuNa/+PQWDPuMADy0J8bi3&#10;IJfqJ98g4d6NV8fU+E6qj700ZZkuxlnlJuT1091mtEeOY7Hrclq52L0F584rH9ZFUwapy/uvlKaM&#10;CwNNea1MP93tQQXkUuPH52E8g+MOdMMA99xNIaAb1EZTQlznNHV9x6yhPNyot0vG+xFqoilhTee0&#10;JKI1tyuXvzfnO015bV0+HQxwjGU9AQs9CbHQk0HHLb+uuc7Sn9O2xIHPVKiNnoS4zqWur/xekM8j&#10;+j8bBo97DfDQkRDPuRQeSLwD5Jm0x1HluvseV/DQCPDQjxDPuRRe/m+C81e4FB73G+ChHyGecym8&#10;XJ1R6fh4TqpvvXTjWGHPKneSvH6624z2yHHsUHSDc+d1blgX3RikLk996Tdm7su035S1ZLzvWCn7&#10;iexkmX66m3Opccv/LTVPpuLjBh6GJoCHXoR4zqX14mud54vUs15QE70Ia6IX5LQsouNvveAzgHVq&#10;x1obK7zXHVgtGQnqoRchlnPp8co/1+O71K7fC4++8X4EPHQixHMu1TfudXhl3Kh6/fqGDoCFRoRY&#10;zqX7hvLybwri9/NN8aBvvB8BD40I8ZxL9Y33KijEukTf0ACw0IcQy7l031B5fu9SfJ1PisdyGbXo&#10;J2trRtYQ9qz8W+T1092c49hU92i+M8jvEKHuvJqHddEHcqm6fMMHrpi5Wx+u1zHuHU6VoQ9vlemn&#10;uznHmopx36Ec+sBTC+57NyimvW2stM8xxgxDC8BFJ0Jc59I6kX9+Sb2WjPcj1EQnwprOpdcAr4Gs&#10;7vhn8uAxdtw/gIdWhHjOpcaO+z5WHb8Rq5Ed1fl9Bf3GDlzej4CLZoS4zqVw+T1E+fNXVvuB+eI8&#10;le3OH3FTBi7vR8BFP0Jc59K4+av+BqFvCXB64bbUhvsJcNGRENe51Lzm3yVhpfbXLfrJ+xHw0JIQ&#10;z7lUP3lGwL02d9xrE/fak8LspSnniMOscu+S1093m9EeOY7Frstp5WLvVTh3XvmwLpoySF3mLqYp&#10;LdXgvmKbDE25UKaf7uZcar54r4fy891bxhrrtT6aOo5egIeWhHjODaMl1HygqImWhDWdS9fMeVOv&#10;JaMD8EQvwprOVTUuuwTH/QN46ESI55yWeHQNbVeONcxa9megKtWdD+akKWvJuH8AC20IsZxL9Y33&#10;9bw75blCvzmnb9w/gIcmhHjOpfqWf5ucz2Xi64u+cf8AFnoQYjmX6lv+HBTNi7+3mhRWLx3YLuxZ&#10;5S6X1093m9EeOY4dig5w7rzODeuiA4PU5d+W0m/M3Jdp32uCa/1iGTrwfpl+uptzqXHj+uf1GC3r&#10;tybA5FoHDx0I8Zwb5ppl/d9X1EQHwprO0a9+48+TT3P32HC9wxUtCOs6N+jY8HTd9VWuu88x8Lhe&#10;uN7BQwtCPOe0vKP9YCx4xsjvFdmkfWr3wmrpONc7WGhBiOVcum/5p6Wpz8EuEd75Ig4eWhDiOafp&#10;i/atqRzfxWzIexw9di0d4xqnPtd/WN+5dH+4y+O5ZXyuJoXV6/rfJexZ5T4mr5/uNqM9chzrt/5i&#10;9wGcO69zw7pc/4PUZS3Qb8zcw+v/SmH8RPZ7Mv10N65/cqlx87d/Uv/+mTnkGqcm13+I59ww1z81&#10;ea2nJtd/WNO5YWq2GIGxvCbXfljTuarGxdc+feDaD/G49slpaUfXENe+Pw/doP3UtU89rv0Qi2uf&#10;XKpvuebzzrX/vR9947Wemlz7IZ5zqb4N83koWOhAiIUODNI3nmTwjLXf+8tJ9auXDuwW9qxyn5XX&#10;T3dDB8hxrL8OHLhvb6ot88q1zrnz8mFd51J1G9I05hQz91AHblQRdOBzMup5QwfIpdZE/n3a/AkD&#10;6y+2BukX1zo10YEQz7n0NXvg2QLrjOeM1EQHwprOaQlEx5+xZub5vcMbtR/j31IODQALfQixnEuP&#10;lz+x6P9+Fzw+jwAPfQjxnEvj5d+q4jlGv/lhLPldQeChESGec6mx9LOLTarXbyx5PgAW+hBiOZfq&#10;G89K+HQ19V6UsUQHwEMjQjznUnj578ziedDwzyFvF/aseHxRXj/dbUZ75Dh2KBrBufM6N6yLRgxS&#10;l77Qb2xStlxmjbhe+w+q/m0yNOJumX66m3PMc4z7DuWYH2aKJ0ybFdPepqXW3edYszD0AFy0IsR1&#10;Lq0VeW3X5L6AmmhFWNO5YWoyPjxPpCaaENZ0jn5VOT4t1eP6BxdtCHGdS61nfrc09778S/F+8wEe&#10;9wjgoQ0hnnNpPN7Z8+lp/PppCgs8NAA89CHEcy6Fl3+zk8/U++Mxjzw/BA99CPGcS89j/myR73D5&#10;+2mxcZ0UJtcafaDPt2jhvSD/JXF4Wvv3y+unuzm3UUdia+lB5c7Lrs0u11/0vEb/PyNbpb/HfFX2&#10;/uxq/fWZD2aXZu/Lrsye15FVOnal/KUyjl2u/KU6ek3HX5V9RK2vVHRltrNznNyuzt5FQjg7O01x&#10;zh3+Nl0KnX08Bn9yYyW/rNjnuPPs05525WOu62Ou4/qO3Y7atC1ju7a9a9GGueE43jUv1H5rSf53&#10;Wn+pD4IUdrc/4eR8W1XP32O7ZNurVH91AdKQ3/r4U2u2PvHUmr3i1PmCp1zr2oeX/t2XTryOPH8j&#10;EDtd1pA1//7qsYdev7PzEVbn77HtPDJb8/PF//fYXiHuVfz+Kur42mLIVsq4zpjKY4p9uew4GTFt&#10;vq555XfXPSp/tGLac7wpe072gow2n9LB/yivn+7m3Bt0JHZd3qzc2bqW3t+5uj6SrZK/XCrHVXmN&#10;riquMY5e0fEcWaX8Lv0/fy1mbY7JJE0HrVdi6wuemHZe0/bhWncbH/fa97iV/84q49mU/ans00vy&#10;cfiFfDgOzr1G7WLjcI1y3K2tUo8v1/8vLf4qFj3Nj3BHl3+mDHfMHH2Nuk/01bx7tfH5+Fi/flXr&#10;TcP3kt+XxpoyT/rm/dTvaiyfR93Uer9aba6S3Subkx0tK6/3XYo/Udhe+c/KyuvdOTjG5nm7ck29&#10;8kx3/ir37jOXKWbNsZbQKvZZU9fLPiS7VfZl2RdkZSznmPsY1g7lzu385e23Zedk/FX7HA+sMi4x&#10;Vh5X75fHsLxPH92m6nn4imozDwuyXvPA2NwvY7x/LgvnwbnU2JytOThHc/Fbnbn4lw3PAZ558OsH&#10;+00ZuPtkzMnPZOGcOJfCPXhO/g9z5xdj13lV8TttEkVlQGaakLSJ0CTt4DgJAaH+AeriOMl16sbO&#10;uBmHmgpVHZIqpQoUIVctJEJ+6FsCiWgoPARSaJ4ufcifCkrEv4cGIxQeQEIQUiEqITmoCrlzlTck&#10;zPrd+607e47Pth1l9kwm/rzP+vY651uzv3P2uvd67Ax+lr1gzbfznkykjz3hfWLfnnxFua8uzH6u&#10;5BXFrwmLOv9yju8zu18/o9zW2gwHa/q3qM5XH+fivehj1vdx7HWXhvkL3bvxPH1bF+wh1OlHRKRO&#10;+xSXhBc1OJd76I023quJP9LYq4FOf5End61iVidq/anBvYN7dO/ePvjYYFm/r4q9Ojg6uE1zBzWz&#10;pkreOeWs6hh8i+Zv2eKJrMu9yrBPUE++ZyKDHDyOzXHe55rnPNF8159r+PjN1D+ep7JcVP2XxHtB&#10;i7Aex7H++3URXq+8W/NvSOj1ioLzL+du0ExW/yeVO6ZqHp/uwFHV/W5VfVVVPq7PJm+fInZkefAL&#10;Gv1MuvFQ3HunfXl1+vy7BxAv0fgBDXqQsf2B2jKYd44Y85zvvLnnu2aXa+zreu94XnxM3fqOLw3z&#10;F3q+4jW0NRe1vz8mHvv7IcUljbi/L+ki9+uicO7SN/xBRdbwl3O3aiLb35eUmz1TR6e790+Df9Qu&#10;8RSxZ+c+W3dOu9ZQd8NBXZOetaz/fnz6++26Mw5NM8zS3Zb1lB4Wj+f17saeXffYFM2eV+8fe8p9&#10;EPfDOeZ8zB7HY9833j9zmff94EiOY2Ou0x0+3xxwd45z0Er09azD55HzevGYOXOZ9331drjfPiw9&#10;3G+HFbv3299q7kr1EThfUzykGO835+g32f12Ujl+asiv9Pk04tcHv6n3QJ7ZfO3vnkuNXGOOeQbA&#10;kjnt2Rx3OT7X8UI1vkzXMIfr+vhCz3Q8b0HnvUcDfdn7zIlyH9egxicUuzW+QwV9TAPONfqmPqko&#10;OP9y7rhmshq/odyxaV359IdOzec6901/X9cnbzzv63rf+ZredX5R7y+p/WGpIcPnGSeVuW+e4Sfz&#10;ZnvzoOJQ71B5Z8qZJ6dnruqMBwbf0yumX9ZZ3ke4a5qB/dnpZ07Lul+6nzV9Yeq/1JD90y01f6/H&#10;nOe7x/AY7K1z1Mjnc8w8mGN4Psf3inPxfJ/jOV8PHK8feebE6DV8HZ9vbK7nwWiMuslxHaL5zvs6&#10;Pp9I/YjxvvVxnNdtt4VzvXC7X89ep2PW7DtvQfMXc28/Jx6vB19UXNLg2pzL/fodjTc0/lzjQU2C&#10;RZ1/OXeFZrJ7+6RyOM8R3bEH5SmfGpzrUX795/q5TmDq7PuBSC7O+9h7QmSO6LpU1/DvtBY1fFmx&#10;W8Ox5qjTP2g8qRr+q2K3huSu0chq+BXleC19r15B39ZTv75X2LNX1Jv1cx3fTC2po+vtOqPd9fW1&#10;jHeq3v8uDdT7NcVuvV/VHPX+D40nVO/vK3brTe69Glm9Tyl3UP2V9yqz2m6+Tj7f+xfXyPWgPhxT&#10;Q9eRyHy3js6T83nE3byv/0frU+cF1bFb5+8qR50nGny+ygfufE/+cu5qTWR1fli5u1VlXofyepM+&#10;kb2OdY+ItWG9WHNq6Hp1j82L55tLJE/cqXv4HaoZtb2yp7af0xz1u0zxKnHerditLbmfECer7TeV&#10;496N7xJ4tbD53pt3eavTV/+u+aF5j4Z382B299+t1wHu3bO7P/YW6saI96/3xXWl5jEf98D74vqb&#10;y7mc42sxH88jz4hzGd88otfZqX2+RN8A+8w+Lmn9RQ1t3dRfX1Vkny9X7vc1eaWifs2/nLtQr8IV&#10;fl57e66z5s4Q6+maMJftk2sI1xyOOQfN8Rq7UecbVT/q/FHFJemJdeZZoJa3KHdM4yMa3TqT2yPO&#10;EY34Nf0DOf32oCY/Nv1E9twqx97kerherlWsN8fO70atfk7fK7VaVezWalFz1OpWxT/TOKrRrRW5&#10;ZXGyWj2q3Lm956hev9w9reCb6fPxfnNtfa/5/nNt0Wm+60v943E8x8fO78ZecD+yF/cpdvdiWXPs&#10;xXHFf9ZY1+juBbn3iZPtxRPKbfb82ec3fZ8JrU0/jz0ov+CzIj675dX6uf3+fPeza89+wCN6zti1&#10;9p6RN4c5vj+f5+hzdmN/7ld92Z8vKXb357+klf3Br39H44sa3f0hx/uwbH9OKbem/r02OLev5N17&#10;678z6/qcb29cS3OouevNsa+xGzX+smpEjR9R7Nb4Zs1R44cV/0WDP6/u1pgcfp7V+A+mOe7lY7q3&#10;h/LKw6q3X/uc26n6P0l1l9/0P2rl+9p1RZtr7ejaUmeGuX31J2d+5PlaROeJ3rudej3zqGrNXj2l&#10;2N2rb0kPe/W4cr+o8Yca3b0i98PiZHv1a8p1+xV+cWhLL5rd/+erj+tszm7W7Ov6nqnZ84rdmt2h&#10;OWr2tOJE41mNbs3I7TtPzb6u3FHV55iqxP19bifp6/izuzzvMbN7K9aRe+9i70+f53N8/3I+I97H&#10;8Zo+j8iARz043s09/Jb2gD08rdjdwys0xx5+W/EvNV7U6O4huevEye77x5Xr3vezzoQf8w6Zp2D2&#10;5ze3qXcd0Z/78Jr/ngG7PXtHtqxruN6unese6+3aeh9ijfv2Bz7z3gdfu28/mNupXvT3qil7wp/p&#10;d/fk36SDPXlJuVMaL2t094TcVeJke/Kwct094ak5MuBz9TW9h5u9h97cgYurv2tMrbwHRNeV2Ffb&#10;narrd1UX6vq6Yreur0obdf1P5X5X4zWNbl3JXeg962Zdh/qkbfYTRxfqSNynsU7GjrFu8FxD5n0e&#10;x/DRHPlwjXeqzmPViTq/U2NJ6y9qaGrLZ+9vaOLzGgvi6Nf8iz0gd4Vidv+enOYO69UlPeT49E/8&#10;N+u+9WcvqA/Xdy0dXZOIOWa4lq7zbtTwcYmmhk9rLElTrOEzqg91ekK5+zT+WEO/5l/OfUQzWQ2/&#10;o1z2qRmvIflzDX5+jfdMvMLM7uEjqj+8W8TZ+nNEs0/ZVvUMzP6Unp/Ao7Nv1tf3brfurn/cI47j&#10;XprD9x15cLxvPofYx4fL8J5zHsNzRK7vPDFe29c339iawDv1zF2tRblfbtJY0rrxfrmj3S/XKvd9&#10;He9T1K/5F/cLuQu9FpvdF3zaMftce7bD5/8ZKN83vH7j5/6O697q+orr5vsAbcx1602dmXfOPO+J&#10;876OeTHvYzjeN67jc50ncj5xp/bwZglhDw9oLGnduIc/3fbwJ5X7no4/qqhf8y/2kNxexeyZf1I5&#10;Pv+4Z7oTh7QPF7ODfa+x/cps67NBTdFELamba0kdXV/vCTzX13vhHNjH3gfvlSN5jo29lvnEndq3&#10;W/XNsG9rGktaN+7bYts3fp7iBR1/QlG/5l/sG7llxWzfHlXu49N3Qkf0adbtepJmf+7Mz8IdVE8F&#10;02P7PmvxTl2qa1Az140au+6uI7pcz8h13ue41szD87yPnd+NvTiub4K9eEBjSdriXvgZOqEcz9Bn&#10;FfVr/sVekNurmO3Fk8rx/oX37ezExTxBb6YHuobU1nVkzrV2Ht0cm+N8thfxenDARK7jc32t3di3&#10;z0kI+/aQxpI0xX07pr1ibx5U7n91/BuK+jX/cu4mzWT79rRys9eLd02fFn5K9LCc7Pj0yeETYV6f&#10;bP5pbff1JHvedbr454Wup2sba4rWOM8xw/tK3vvqOe+FrxPP4dh584m+hq9nzm7s58MSwX7yc2JL&#10;0hb388ttP08p90GN39bQr/kX+0nupxSz/XxmmuOV6XDwCXVF/20LXlts/SnsPv/iM9I7tee8kllT&#10;Z+U1CTvcfbW6uuXZiHuBXu9h3I/I6ea9V8zDc55jY++Vc3FP45z31vser+F10Oj8TnihtnXA4O+u&#10;ndbiO7Gmlpt+ec29QldrvGs2Pf/dWpi/QcP3I/fX/RojDf6uxZ9qPBswNbxD47rp37zTwfTr1AEf&#10;6U4Nx5uz8chrjDXJGhsarDHWAG/nGjx3XJNnjzWMt3ONM22NV9saxtu5xj26wfk+1hT5Poy3c42/&#10;amv8dVvDeDvXuOGS2fexT5Hvw3g71/hqW+OJtobxdq7xf22Ns20N4+1c4zN6kcqerytSK+PtWOPT&#10;ut6JhVl/0uHg/RofYA6geX0t0xcub2NhsDz12JYjH770U2GzX9OfrybBz1n3xb65yI3Hfdy+uXhO&#10;PO7j9s3Fc+JxH7dvLp7jvkoJ3Vdjj9WjNf17Idcqctz98vnkrtHYo/EFjRc1PqSxR4OeDDZXt+D0&#10;dcH9iubSv+EY79cxmt5K3/Z6Uds32zrWttGwuVGbuePGMR4KV2ibtHWsDQ+gJn3azMUf4BjzZ9UV&#10;2n6rrWNteEemzVx8BY7x53Vcoe2/O9rwnEybufgRHOMqbcfbOq4bXpVpMxcfg2Ncpe1vOtrwuEyb&#10;ufgfHOMqbTe2dVw3vDHTZi6+Cce4StvvdbThqZk2c/FbOMZV2vjLTKzjuuHF4BWNRQ3JmPdec/Fp&#10;OMbrOqx4Tunt/F0Ea8MXwH3azB01jvF+4Qpt9PaobaPhPm3mjhvHeChcoW3S1nHd8IWsbubiC3CM&#10;K30h1g1fyLThA+TwBaJx1bNAb4/a8IVMm7n4AhzjKm309qgNX8i0mYsvwDGu0kZvj9rwhUybufgC&#10;HOMqbfT2qA1fyLSZiy/AMa7SRm+P2vCFTJu5+AIc4ypt9PaoDV/ItJmLL8AxXtdhRX+jt/N3ptzf&#10;8AXwisaihko09yxzR5qDY7xfxxXa6O1R20bDfdrMHTeO8VC4QtukreO64QtZ3czFF+AYV/pCrBu+&#10;kGnDB8jhC0TjqmeB3h614QuZNnPxBTjGVdro7VEbvpBpMxdfgGNcpY3eHrXhC5k2c/EFOMZV2ujt&#10;URu+kGkzF1+AY1yljd4eteELmTZz8QU4xlXa6O1RG76QaTMXX4BjvK7Div5Gb1/Qhd3f8AXwiuKi&#10;hkq0xRfIjRrH5+4Ha1R8jhS1bbR1+7ThA3DHLRoPwRrbrW3S1nHd8AXW79NmLr4Ax7jSF1jH2vCF&#10;TBs+QA5fIBpXPQv09qgNX8i0mYsvwDGu0kZvj9rwhUybufgCHOMqbfT2qA1fyLSZiy/AMa7SRm+P&#10;2vCFTJu5+AIc4ypt9PaoDV/ItJmLL8AxrtJGb4/a8IVMm7n4Ahzj9aL+Rm+/Uuu4h+AL4L7+Zu6o&#10;cYwrfSFq2ziPNnwA7rhF46GwpgcVvhC14QtZ3SZNE74Ax7jSF6I2fCHThg+QwxeIxlXPAr09asMX&#10;Mm3m4gtwjKu00dujNnwh02YuvgDHuEobvT1qwxcybebiC3CMq7TR26M2fCHTZi6+AMe4Shu9PWrD&#10;FzJt5uILcIyrtNHbozZ8IdNmLr4Ax3i9qL/R2/dpnegL4BXNL2qoRFveL5AbtXN8bqUvRG0bbd0+&#10;bfgA3HGLxkNhTZf4QtSGL4D7tE2aJnwBjnGlL0Rt+EKmDR8ghy8QjaueBXp71IYvZNrMxRfgGFdp&#10;o7dHbfhCps1cfAGOcZU2envUhi9k2szFF+AYV2mjt0dt+EKmzVx8AY5xlTZ6e9SGL2TazMUX4BhX&#10;aaO3R234QqbNXHwBjvF6UX+jt/Pv70RfAPf1N3NH7RzjSl+I2jbaun3a8AG44xaNh8KaLvGFqA1f&#10;yOo2aZrwBTjGlb4QteELmTZ8gBy+QDSuehbo7VEbvpBpMxdfgGNcpY3eHrXhC5k2c/EFOMZV2ujt&#10;URu+kGkzF1+AY1yljd4eteELmTZz8QU4xlXa6O1RG76QaTMXX4BjXKWN3h614QuZNnPxBTjG60X9&#10;jd6+qnWiL4BXNL+ooRJteb9AbtTO8bmVvhC1bbR1+7ThA3DHLRoPhTVd4gtRG74A7tM2aZrwBTjG&#10;lb4QteELmTZ8gBy+QDSuehbo7VEbvpBpMxdfgGNcpY3eHrXhC5k2c/EFOMZV2ujtURu+kGkzF1+A&#10;Y1yljd4eteELmTZz8QU4xlXa6O1RG76QaTMXX4BjXKWN3h614QuZNnPxBTjG60X9jd7Ov3sYfQHc&#10;19/MHbVzjCt9IWrbaOv2acMH4I5bNB4Ka7rEF6I2fCGr26RpwhfgGFf6QtSGL2Ta8AFy+ALRuOpZ&#10;oLdHbfhCps1cfAGOcZU2envUhi9k2szFF+AYV2mjt0dt+EKmzVx8AY5xlTZ6e9SGL2TazMUX4BhX&#10;aaO3R234QqbNXHwBjnGVNnp71IYvZNrMxRfgGK8X9Td6O//eavQF8IrmFzVUoi3vF8iN2jk+t9IX&#10;oraNtm6fNnwA7rhF46Gwpkt8IWrDF8B92iZNE74Ax7jSF6I2fCHThg+QwxeIxlXPAr09asMXMm3m&#10;4gtwjKu00dujNnwh02YuvgDHuEobvT1qwxcybebiC3CMq7TR26M2fCHTZi6+AMe4Shu9PWrDFzJt&#10;5uILcIyrtNHbozZ8IdNmLr4Ax3i9qL/R2+lP0RfAff3N3FE7x7jSF6K2jbZunzZ8AO64ReOhsKZL&#10;fCFqwxeyuk2aJnwBjjHHFdro7VEbvpBpMxdfgGNc9SzQ26M2fCHTZi6+AMe4Shu9PWrDFzJt5uIL&#10;cIyrtNHbozZ8IdNmLr4Ax7hKG709asMXMm3m4gtwjKu00dujNnwh02YuvgDHuEobvT1qwxcybebi&#10;C3CM14v6G739Ka0TfQG8ovlFDZVoy/sFcqN2js+t9IWobaOt26cNH4A7btF4KKzpEl+I2vAFcJ+2&#10;SdOEL8AxZn8rtNHbozZ8IdNmLr4Ax7jqWaC3R234QqbNXHwBjnGVNnp71IYvZNrMxRfgGFdpo7dH&#10;bfhCps1cfAGOcZU2envUhi9k2szFF+AYV2mjt0dt+EKmzVx8AY5xlTZ6e9SGL2TazMUX4BivF/U3&#10;evvzWif6Arivv5k7aucYV/pC1LbR1u3Thg/AHbdoPBTWdIkvRG34Qla3SdOEL8AxrvSFqA1fyLTh&#10;A+TwBaJx1bNAb4/a8IVMm7n4AhzjKm309qgNX8i0mYsvwDGu0kZvj9rwhUybufgCHOMqbfT2qA1f&#10;yLSZiy/AMa7SRm+P2vCFTJu5+AIc4ypt9PaoDV/ItJmLL8AxXi/qb/T201on+gJ4RfOLGirRlvcL&#10;5EbtHJ9b6QtR20Zbt08bPgB33KLxUFjTJb4QteEL4D5tk6YJX4BjXOkLURu+kGnDB8jhC0TjqmeB&#10;3h614QuZNnPxBTjGVdro7VEbvpBpMxdfgGNcpY3eHrXhC5k2c/EFOMZV2ujtURu+kGkzF1+AY1yl&#10;jd4eteELmTZz8QU4xlXa6O1RG76QaTMXX4BjvF7U3+jtr2id6Avgvv5m7qidY1zpC1HbRlu3Txs+&#10;AHfcovFQWNMlvhC14QtZ3SZNE74Ax/gRHVdoo7dHbfhCps1cfAGOcdWzQG+P2vCFTJu5+AIc4ypt&#10;9PaoDV/ItJmLL8AxrtJGb4/a8IVMm7n4AhzjKm309qgNX8i0mYsvwDGu0kZvj9rwhUybufgCHOMq&#10;bfT2qA1fyLSZiy/AMV4v6m/09te1TvQF8IrmFzVUoi3vF8iN2jk+t9IXoraNtm6fNnwA7rhF46Gw&#10;pkt8IWrDF8B92iZNE74Ax/gRHVdoo7dHbfhCps1cfAGOcdWzQG+P2vCFTJu5+AIc4ypt9PaoDV/I&#10;tJmLL8AxrtJGb4/a8IVMm7n4AhzjKm309qgNX8i0mYsvwDGu0kZvj9rwhUybufgCHOMqbfT2qA1f&#10;yLSZiy/AMV4v6m/0dv7frdEXwH39zdxRO8e40heito22bp82fADuuEXjoTBlrPj3kaI2fCGr26Rp&#10;whfgGFf6QtSGL2Ta8AFy+ALRuOpZoLdHbfhCps1cfAGOcZU2envUhi9k2szFF+AYV2mjt0dt+EKm&#10;zVx8AY5xlTZ6e9SGL2TazMUX4BhXaaO3R234QqbNXHwBjnGVNnp71IYvZNrMxRfgGFf6wlVaJ/oC&#10;eEVLL2qoRFveL5AbaY6ILxArfYHrWxu+AO7Thg+QG7doPBSu8oWoDV/ItE2aJnwBjnGlL0Rt+EKm&#10;DR8gd6ZF46pngd4eteELmTZz8QU4xlXa6O1RG76QaTMXX4BjXKWN3h614QuZNnPxBTjGVdro7VEb&#10;vpBpMxdfgGNcpY3eHrXhC5k2c/EFOMZV2ujtURu+kGkzF1+AY1zpC/x/5917+fdUwSuKfb5AbtQ4&#10;+AK40heiNnwh04YPkBu3aDwUrvKFqA1fyLRNmiZ8AY5xpS9EbfhCpg0fIHemReOqZ4HeHrXhC5k2&#10;c/EFOMZV2ujtURu+kGkzF1+AY1yljd4eteELmTZz8QU4xlXa6O1RG76QaTMXX4BjXKWN3h614QuZ&#10;NnPxBTjGVdro7VEbvpBpMxdfgGNc6QsHtE70BfCKlu7zBXIj5Yj4ArHSF7i+teEL4D5t+AC5cYvG&#10;Q+EqX4ja8IVM26RpwhfgGFf6QtSGL2Ta8AFy+ALRuOpZoLdHbfhCps1cfAGOcZU2envUhi9k2szF&#10;F+AYV2mjt0dt+EKmzVx8AY5xlTZ6e9SGL2TazMUX4BhXaaO3R234QqbNXHwBjnGVNnp71IYvZNrM&#10;xRfgGFf6wprWce/l/QJ4RbHPF8iNGgdfAFf6QtSGL2Ta8AFy4xaNh8JVvhC14QuZtknThC/AMa70&#10;hagNX8i04QPk8AWicdWzQG+P2vCFTJu5+AIc4ypt9PaoDV/ItJmLL8AxrtJGb4/a8IVMm7n4Ahzj&#10;Km309qgNX8i0mYsvwDGu0kZvj9rwhUybufgCHOMqbfT2qA1fyLSZiy/AMa70hQe0TvQF8IqW7vMF&#10;ciPliPgCsdIXuL614QvgPm34ALlxi8ZD4SpfiNrwhUzbpGnCF+AYV/pC1IYvZNrwAXJnWjSuehbo&#10;7VEbvpBpMxdfgGNcpY3eHrXhC5k2c/EFOMZV2ujtURu+kGkzF1+AY1yljd4eteELmTZz8QU4xlXa&#10;6O1RG76QaTMXX4BjXKWN3h614QuZNnPxBTjGlb7wkNZx7+X9AnhFsc8XyI0aB18AV/pC1IYvZNrw&#10;AXLjFo2HwlW+ELXhC5m2SdOEL8AxrvSFqA1fyLThA+TOtGhc9SzQ26M2fCHTZi6+AMe4Shu9PWrD&#10;FzJt5uILcIyrtNHbozZ8IdNmLr4Ax7hKG709asMXMm3m4gtwjKu00dujNnwh02YuvgDHuEobvT1q&#10;wxcybebiC3CMK33hMa0TfQG8oqX7fIHcSDkivkCs9AWub234ArhPGz5Abtyi8VC4yheiNnwh0zZp&#10;mvAFOMaVvhC14QuZNnyAHL5ANK56FujtURu+kGkzF1+AY1yljd4eteELmTZz8QU4xlXa6O1RG76Q&#10;aTMXX4BjXKWN3h614QuZNnPxBTjGVdro7VEbvpBpMxdfgGNcpY3eHrXhC5k2c/EFOMbb4Qt7dbmr&#10;Nd6lEb9WBPAA5m9ox/TSIxr3a/yKxoMav6rxtDQZI+9n9Nt2/90A3rM8p2E/AH9D61intm2uzVzi&#10;n4hjjP4N/bbd2jZ03agNnGkzl4g244UibXhT1AbOtJlLRJtxlTa86Tl9395TcKbNXCLajKu04U1R&#10;GzjTZi4RbcZV2vCmqA2caTOXiDbjKm14U9QGzrSZS0SbcZU2vClqA2fazCWizbhKG94UtYEzbeYS&#10;0WZcpQ1vitrAmTZziWgz3g5t9p6/0LXxnRcU8R5jHQ4+rN/eSn/3Gry/wd9YA28zPiLMOtu1xjNt&#10;jWfbGuDtWOPTus4JFZ268/V+jQ9onADMJpfx9cvbWBgsD9QinOMofJ3VTTb9NTh7Vgf6yuL5cpyT&#10;nef5t/v5KxK4qEEJ/bqI10iep4bXaOzR+CXdKy8q2t+4T8ErGlxDj+/8NYu5324c40+Kw1pv5X7z&#10;el1tL+u6URvY3K42cmgjoo1Yqe01XT9qA2fayKGNiDZipbYFbUjUBs60kUMbEW3ESm1X6vpRGzjT&#10;Rg5tRLQRK7XF/z81z0L2/6dGCzm0EY0rtcX/Ryrasv9HKlrIoY1oXKltVevEPQWv6B7v6yHk0EZE&#10;G7FS2326ftQGzrSRQxsRbcRKbV/S9aM2cKaNHNqIaCNWauPzv6gNnGkjhzYi2oiV2p7S9aM2cKaN&#10;HNqIaCNWante14/awJk2cmgjoo1Yqe20rh+1gTNt5NBGRBuxUtsrun7UBs60kUMbEW3ESm2v6/pR&#10;GzjTRg5tRLQRK7W9Uy/2ozZwpo0c2ohoI1Zqu0rXj9rAmTZyaCOijVip7SZdP2oDZ9rIoY2INmKl&#10;tgO6ftQGzrSRQxsRbcRKbWu6ftQGzrSRQxsRbcRKbQ/o+lEbONNGDm1EtBErtT2k60dt4EwbObQR&#10;0Uas1PaYrh+1gTNt5NBGRBtxO7Tt1evFqzXe7Of8fO7xDWnwZy3G2/EZhTWphW/5cm2Y73uP/YOD&#10;wanrleP1rz43OHudIp9j+LzLdPwejZafft8c8/WjGtSBazPeJ/JpfX936XiPBl8q+yBe/5Awn52g&#10;ZXj00E033jr7PIXrSMoBfpuNzWPOuVZjjwbnvOPWmR7BwQ9pXMGBvvZocPz/AAAA//8DAFBLAwQU&#10;AAYACAAAACEA41OBTrhBAAAonQEAFAAAAGRycy9tZWRpYS9pbWFnZTIuZW1m1J0NkFzVld/fgGYQ&#10;MDjaMWDJEGdEDAhbuEbfAmNAfJog0Bg1tuKSXRIW2FrLMGsDlm3sqFJar0OwV2yVKo4LG/GZrbWr&#10;4gZmAHtDXLWOzafZZLcUY2DXu9m4EhtYhImTqmQh/1/3/ffcuerbr5vpJ8YPrs4799x3/uedc+//&#10;fXRLPVAUxQ61gdB+NFgU6w+TErbT/m1RvHRWUYxeeNlFjFryzYHivKOL4igPCHLXEUWxdl5R/IMc&#10;vQNn0fb+Hx5RjH1kXiEHxVK1UTW5e/fAuQPFidpfoHbYgh88y2FbQmPsZrVxNcaedO68Ylj7bO84&#10;98jW/jvlw/1j5x7W8KUwtO06Z/G5R7Rs884tWvuLZZ2vdpIax76urV0f57hAzZvHnKwOjjtGIAvD&#10;PmMWhX25K0bCPqk8PuxLFMeGfR1b2I9St8v76t51qf5YoMamcrSNM8aKY3iHxqN7+7EcXKYg2p1r&#10;mQ/qQZtrPk5VTJwjsbGRbzbnkH7nBJvPkzHr1bap+dwOaP931Ly9op0RtcXFy+6S3HXOtBLvT/fG&#10;e8Y4W3kHhzUFBjrbM4f3DwP/+Abjd3GuDf1tQ0XxYcnZnIfzHMJWGuRQm/NMv/OMrZVn7Z8i24lq&#10;OtWZ267p47GdoLZA7Rw5u0NyddAvDLr9zFM/G+frzXFgc87t54JwvHWlo3HsbPJhvDTuO+XbcYOL&#10;7rFpbNjOD2OIDX1QjfOqIra75NexgYueiw3beWEMsaETf1Wx3S3fjg1c9Fxs2NaFMcSGfrhaVbHd&#10;I9+ODVz0XGzYdOlpjCE2dInKYrtXvh0buOi52LARUyzJWb/yhp8lasNqnHM3nOFYqZ/X/7d08B3S&#10;fV53B91j58nmNe6xd4Ux1oc0pl/nlcZ2ZxQbuOi52LDdGcYQG/qgWlWxsU6dN3DRc7FhuyOMITZ0&#10;cltVbKxTxwYuei42bPvCGGJDP1ytqtjukW/HBi56LjZst4cxxIYuUVls98q3YwMXPRcbNmKKJTnr&#10;V97w0481fpSKeYd8+bwWBL3deXnsPwpjrA/18byYW+Yf/N8ZxQYuei42bG8JY3zsoPr6lfM0trui&#10;2MBFz8WG7ZgwhtjQ56lVFRvr1DUFFz0XG7bhMIbY0CUqi+0e+XZs4KLnYsN2dBhDbOhaVpXFdq98&#10;OzZw0XOxYSOmWFLPftUUP/1Y448pxjvky+f1dNDbnZfH/iSMsT7Ux/OS69Yax3+8xsHNrXGPfSqM&#10;sT5YYWx3RXkDFz2XN2xPhjHEhj5PrV/zQS5n5I116pqCi56LDdsTYQyxoeOvqtjukW/HBi56LjZs&#10;j4cxxIZe1RrH/71RbOCi52LD5mMsyVm/8oafeI0vlM59e6d3JJOyX6v2mBob+nVqx6nN5nnV9/Jn&#10;K/n4vFq5AcP6EgXbL4xH5RsM3pGAYX2DsGeL0c3zjvNc7Jr5juRkxUL+FV5rrdW1P6W2Wm2B2oNq&#10;6B47T/vOncdip1kf0r7SN6v6GC+NjXhWqy1QAxPdY9PYsE2GMcSGPqhWVWwPybdjAxc9Fxu2B8IY&#10;YkMn/qpie1i+HRu46LnYsN0fxhAbOnWoKrbvybdjAxc9Fxu2+8IYYkOvij/x/301xwYuei42bD7G&#10;ckB9tNlwlfHws0SNNcs5Lwz7nfjzMY2BP59VY0OHP9+qNpuYzAEHgk/4EwzrNyjAfmHAl8QNf4Jh&#10;Hf6cLcap8kceyWdj29UUznmc50K2RTKTf/Y9RuHN4M/HpXvOwDnoHssad+7qwTYVpPUh6QNqs6mP&#10;8dLYnpBfxwYuusemsWGbDGOIDX1QrarYnpRvxwYuei42bA+EMcSGTvxVxfaUfDs2cNFzsWG7P4wh&#10;NnTqUFVsP5FvxwYuei42bPeFMcSGzhyvKran5duxgYueiw0bMcWSuPoVG3565c9ndcy1ai+osaFf&#10;pzaiNpv1uV7Hb1M7oIZP+BMM6/BnvzDgSzDgTzCsw5+zxaiCP59TjJ4z8Cd6bs5gmwpj6kEOSVLr&#10;2dTHeKzbE9QWqOH/eTXHBi66x8I/69Woq8dOap8x1ge1X1VsfyXfjg1c9Fxs2OAxJLEhib+q2P5a&#10;vh0buOi52LDBY0hiQ1KHqmL7uXw7NnDRc7Fhu08NSWxILaPKYvsb+XZs4KLnYsNGTLEckE7rx1rA&#10;T6/8+YKOuVatEYQE+nVqx6nNJiavswPBJ/wJhnX4s18Y8CVxw59gWJ+rz+8vKkzPGfgTPTdnsE2F&#10;MfUghyR1mrOqj/EoS8yfL0l3bOCieyz847oSC7bJIK0PSq8qtr+Xb8cGLnouNmzwGJLYkFXy58vy&#10;79jARc/Fhg0eQxIbMiyPSmp6QP4dG7joudiwwWPIepBV8ucrwnBs4KLnYsNGTLEckE6bDVcZDz+9&#10;8ifgcNuxHMwmeY3047Q7m5i8zuAyfMJtYFifq9w2oBhdT7gN3flN+QPbVBhTD3Koebqzyp3xSF3M&#10;bYdFsYGL7rFpbNgmwxhiQx+UlKgktsPl2HkDFz0XGzY4BlkPkvilVhLbPDl2bOCi52LDdn8YUw8y&#10;TOFKYhuMYgMXPRcbNjgGWQ/yMEmplcQ2JMfOG7joudiw1cMYS3X1LTZ89cpt8A3cxmctbOj95jZ8&#10;wm1gwG3oc5XbjlNsrifchp6rJ7apMKYe5JCkuiuZa8fLsWMDFz0XG7bJMKYepEpQWWxvi2IDFz0X&#10;GzY4BlkPskpuWygc5w1c9Fxs2OAYZD1ITdnK8rZIOI4NXPRcbNjgGGQ9yCq57e3CcWzgoudiw0ZM&#10;sVRX3/KGr165bYkOgtvO4mCOl+w3t+ETbgMDbkOfq9x2mmJzPeE29Fw9sU2FMfUghyTVXQm3vUuO&#10;HRu46LnYsE2GMfUgVYLKYnt3FBu46LnYsMExyHqQVXLbUuE4b+Ci52LDBscg60FqylaWt9OF49jA&#10;Rc/Fhg2OQdaDrJLb3iMcxwYuei42bMQUS3X1LW/46pXbztJBcNs4B2tD7ze34RNuAwNuQ5+r3PY+&#10;xeZ6wm3ouXpimwpj6kEOSaq7Em47W44dG7joudiwTYYx9SBVgspiOyeKDVz0XGzY4BhkPcgque1c&#10;4Thv4KLnYsMGxyDrQWrKFlIrqek6OXZs4KLnYsMGxyDrQVbJbecJx7GBi56LDRsxxVJdfcsbvnrl&#10;tnEdBLdt42Bt6P3mNnzCbWDAbehzlds+oNhcT7gNPVdPbFNhTD3IIUl1F7N5V2k81lT8vu0KOXZs&#10;4KJ7LNzgd5zEgm0ySOuD0tVdSWwb5dixgYueiw0bHIOsB1klt9WE49jARc/Fhg2OQdaDpA5SK8nb&#10;lXLs2MBFz8WGDY5B1oOskts+KBzHBi56LjZsxBRLdfUtb/jqldu26SC4bScHa0PvN7fhE24DA25D&#10;n6vcdrVicz3hNvRcPbFNhTH1IIck1V3JOrhGjh0buOi52LBNhjH1IFWCymL7eBQbuOi52LDBMch6&#10;kFVy2yeE47yBi56LDRscg6wHqSlbWd62C8exgYueiw0bHIOsB1klt/2ucBwbuOi52LARUyzV1be8&#10;4atXbtupg+C2WzhYG3q/uQ2fcBsYcBv6XOW2zyk21xNuQ8/VE9tUGFMPckhS3ZVw2+fl2LGBi56L&#10;DdtkGFMPUiWoLLYvRLGBi56LDRscg6wHWSW33SQc5w1c9Fxs2OAYZD1ITdnK8vZF4Tg2cNFzsWGD&#10;Y5D1IKvkti8Jx7GBi56LDRsxxVJdfcsbvnrltlt0EN+h28fB2tCvkzxObTbPVX4+OhB8wp9gWO/3&#10;d+iIG/4EA/5En6v8+VXF5jkDf6Ln5gy2qTCmHuSQpLpnVR/jsW7j596vybFjAxfdY+Ef15VYsE0G&#10;aX1Qurorie0P5dixgYueiw0bPIasB1klf+4RjmMDFz0XGzZ4DFkPkjpIrSRvt8qxYwMXPRcbNngM&#10;WQ+ySv78I+E4NnDRc7FhI6ZYqqtvecNXr/y5TwfBbQ9wsDb0ft8b4hNuAwNuQ5+r3HaHYnM94Tb0&#10;XD2xTYUx9SCHJNVdzObaYzzWVMxtd8qxYwMX3WNTbsM2GcbUgxyUVHclsd0lx44NXPRcbNjgGGQ9&#10;yCq57W7hODZw0XOxYYNjkPUgqYPUSvJ2jxw7NnDRc7Fhg2OQ9SCr5LZ7hePYwEXPxYaNmGKprr7l&#10;DV+9ctsDOghue5SDtaH3m9vwCbeBAbehz1Vum1Rsrifchp6rJ7apMKYe5JCkuitZB1Ny7NjARc/F&#10;hm0yjKkHqRJUFtuDUWzgoudiwwbHIOtBVsltDwnHeQMXPRcbNjgGWQ9SU7ayvD0sHMcGLnouNmxw&#10;DLIeZJXc9j3hODZw0XOxYSOmWKqrb3nDV6/c9qgOgtt+ysHa0OG239H+bO49/HwEl+ETbgPDOtw2&#10;W4xTFeNCNerb2HY1hfNPP/Zhund19+8KPKYYXU+4Dd3+WH8+r3qwTQVpfUi6DplV7oyn1M24b3tc&#10;jh0buOgem8aGbTKMqQc5KKnuSmJ7Qo4dG7joudiwwTHIepDEL7WS2J6UY8cGLnouNmz3hzH1IKmD&#10;uiuJ7Sk5dmzgoudiwwbHIOtBMselVhLbT+TYsYGLnosNWz2MsVRX32LDV6/cBt/AbS9wsDb0ft+3&#10;4RNuAwNuQ5+r923PKDbXE25Dz9UT21QYUw9ySFLdlcy1n8mxYwMXPRcbtskwph6kSlBZbM9GsYGL&#10;nosNGxyDrAdZJbc9JxznDVz0XGzY4BhkPUhN2cry9rxwHBu46LnYsMExyHqQVXLbXwnHsYGLnosN&#10;GzHFUl19yxu+euW2F3QQn1f45ge9359X4BP+BOOABHq/P6/AJ/wJBvyJPlf580XF5jkDf6Ln5gy2&#10;qTCmHuSQpLor4c+X5NixgYueiw3bZBhTD5ISqLuS2P5ejh0buOi52LDBY8h6kFXy58vCcWzgoudi&#10;wwaPIetBsjykVpK3A3Ls2MBFz8WGDR5D1oPUkqostleE49jARc/Fho2YYqmuvsWGr175E76BP48l&#10;SWyS/eZPfMKfYBwIGP3mTzDgTzDgT/S5yp8Dis1zBv5Ez80ZbFNhDHMHfQipNpv3EsYjVfFnIodF&#10;sYGL7rHwT/zcj20yjCE29EHJqmI7PIoNXPRcbNjgMSSxIavkz3ny75qCi56LDRs8hiQ2JHWoKm+D&#10;8u/YwEXPxYbtvjCG2ND1f2WxDcm5YwMXPRcbNmKKJTnrV97w0yt/HquY4M/TJNnQ4c/j1WazPr3O&#10;DgSf8CcY1m/Qfr8w4Evihj/BsA5/zhbjVMW/UE2umtuupnCN6cfey7vJ43SQ5wz8iW5/KUdhmwpj&#10;6kEOSVLr2dTHeKzbmD+Pj2IDF91j09iwTYYxxIY+KFlVbG+LYgMXPRcbNngMSWxI4q8qtoXy75qC&#10;i56LDRs8hiQ2JHWoKrZF8u/YwEXPxYbtvjCG2ND1f2WxvV3OHRu46LnYsBFTLMlZv/KGn1758zTF&#10;BO/4dzjR+T2/dfI1m/V5hY6fUEByV/zaP5qofbY/pbO5ja4rPl1sL7Y2fhfUnb3KM98y8MMtrz5w&#10;4q7BV5mG2natW6A/yQXbmNqS//D00iX/8eml+0gSTdvEDY8c/pt/d8qNY9o/KrQzJNFr//e6eZ89&#10;8S8U+euv7/uQ7H9xVPF//rZ2okzFmW/5Yasf3cfM/+wjh4996BdXLXjyo/MWaP8B+add/6V33oj8&#10;Q0mPJ+YxlGLa18APBwqfA+fDmP+h486Uz4Xy+cSmX1wFBkf99ImPznv5h7ffsO3Gxs+LtuYcqXXu&#10;VdbifylSxnvbE85dekW537LuLXIe5/7cx55eeu4Tveb+560cH/Xz347ck2+v/bgOWk4H1aGKNbDp&#10;pXgN9KcOD79923Qdth1VLP3VoVsDnM8bWQPkO67DpdIXqLFRI98THdHoOfg3Xen38ceITE6Szv0R&#10;iVgsOT+yU2ePZWm1/s147S9UC8cV7wj6OTrgk9r/puS+0Ne499K+jxVM499qph+fNbU9ahfomB2S&#10;35D8gqREa7PtaPWsb/U2dxoF1B/bpI6L2WtiiEuKy4oNxeWSG4pR/ebskbLRODck9xr4ghets08/&#10;8exUu1IBfFHyZslbJON4bCOXuXg2y3ae4tmoKM5vxHH/647DmMgYd7f0SwT0NclbJb8pGePaxnE5&#10;3C2ybVAOLhDu5cInGxuKrdt9rjE2+9axu9bMC++Df6naAjW2QTXb+jGXmA+eS/j3XOJ3+D4p/Uhd&#10;EfZJjqgNq8Vz5k80Zof6uEH7ggSxerONOudytU229nOmmRdy08uc+b4CYM68LHmLZByPbb3Nmek4&#10;XCdkOme+KyDmzG8k0zljG8fl8rBFtnWNGXN+Y7Ywb9YXW/8nx8S4rI94HpEbz4W5MGf4XTfmDM+z&#10;+yRH1IbV4jnDb/7doL5tkqy3uEa2Hao5A/6xiuPLkh+W3JvEY9sbqN3237ba8Z0Basf7gX2S7Wr3&#10;Kdmo3Z9JprWz7VDVjmvE5xUHtbtPMq2dbWXrvaZfhDm/ca3iKtHkG3NOvPbmGj/zu2rU61SRwj7J&#10;dvXidwGp1zs1Jq2XbYeqXjcpjr8M9TpB8aT1so3c53hys2zw5IWq2JWNvQ0NfqROcc289uZazZbo&#10;vKnZH0juk0xrRo1Wy0bNbpJEj/nRNs4vl6Mtsl1YbFKGLtS9D/dftJn5ca58HbOsadxOtTOFzbq6&#10;QTKtk21l64oqXdSoVK1x/+MagW185Fyr0Vd0ztToWcl9ku1qtEc2arRfcrdkXCPbymp0kbJyueYy&#10;1SFXo/LjfMTzVxCNOY6N/ZoaawkcavRfJNMa2cYxuXnCWrpYa+gKtcvl9SlJamFsS+Oin6w2rDYX&#10;7jWe03lTp1MG83X6a42hTidrzG7JuE62cV65HG2R7eC1tHU7OYnzw77XkGVNfTvV/ptioE7vUAx7&#10;JeMYbOttLU3PB+JwLMi5tpYGFBPtxzr3y3Til2p/gRqbulrzifM/Wc1z66Swz7PlYu1zbraTP+/j&#10;e5Eax+WeYxhzhxoxTEqOqDGefmq0Re0aOb1L8nrJ+yQlWpttunRl5wl+lhTLitMkVe6C80E6znS9&#10;GPdJAd2tcT+TvF8yxrWtHHe5cLedE+Pa/5gOxv/Zkql/28r9r5D/XQf5v01+fy/4/9M2/m3TuWfz&#10;9gnZlhQr5X+0eJ8aOXx3sVztYEzOj3mApJFj9FjSX1PbonYgxPZ6m9hskykbG36WFKsU29btxrP/&#10;PbK9V8rdkp+RvF8yrp1tR6t/vVq8MafZtqlzid7uT5/7yuL0Bl7j8tuaQ3J/0HnT5zlW0z61uEWd&#10;d0tyTUrjsa28FmuieFYV71JtxjSL03ktiINi0vJqxERcMQfukf7fQ2z/WIPS2Gwrz9XaKDZyRazT&#10;c4GY2sVFn3P1ZvEPXGMONCeQrxG1mIs2Sb9Z7Xtqe9V+rBbPK9voy82rcdmWqW5DkrSaGn6fUMPv&#10;frXUr21lfsfk2X6vkJ8JnRhr8IDms0Rr28MJN7fR8xufv2wvrmp8FuPu3iU1/Mtzvv3k5lsfOfzP&#10;/+XHP/L/9BlFbc8jh9M+ob7rfn7uR247+9tPrv2jRw7n84t/Jf3P333MvE8Mf/xE0JZojMO6Wzr7&#10;1vG9KSQa+ce/3to45jn1N7ezzhvWDr79GcznpC8KVv2rsg07eWb7PbWZ9kZ3cUQT8PXvX3T06mXq&#10;Io6Fiiv+DAYMRuc+gyHf1HSn2qcU64OS35B8VDKcgvambZzb+kbP9B8NAtIfm9W1XBy0oliqGbNC&#10;+9NrmOPmJTq4tEIRgjskmeLaxqnmcMdlG1MDwz43B59XtfFpW7nPXefYJ/n5evD5n9r4tI3xuTjf&#10;SH7A/d8B951KYJof28pwl+lasEx1WSGeW1Z8qXFeHEOT2xbXopNDcD8kw4OSu9vg2sb4Tue7TGjL&#10;hTumecEcZbxbO9wJ2e8LuD9tg2sbvJHD3STbaiEu1TmvLNZ2xOM8fxPw/qlINM2vbWXnuVx4nOda&#10;/bdC13ifIzI9z5iza7ITL1z8pBo8/YxavPZsoy93zuOy5Xgav/B06heexlbmdyzif8c+X8f14/qH&#10;H/tkPcKBw2pcAhaGfYnW5wiMeVyN69+zkiNqjKefXO5Ug8cYA4/9TJLz84btMSll9VyhbJ7RmEHL&#10;e+IxcOGxFBceA5c416vFm/lzXJ1jasTGuUyonaXj8AmPpT6x4bNsLTAvlupsVmpVeF6mc9K5g8fA&#10;g+NSPGzd5W5FAxG8NcW+dcZE5nDhMXDhuBQXWze4VIxVv1pyrXx1gwuPgQvHpbjYusPlardU5wpy&#10;85phbLmYEUdN+oQaPAYuHJfiYuumruAt1excI9ROeKwJeAw8OC7Fw9bNeS4Xn64V4rIGy808L7lo&#10;xUAsbxY3sL56uTd+XuP3qv1SLeaJm6Vjo6/Tes1xLsfCualfOLcbv2OqKuuaZn6cr/03K6/PCZu8&#10;viA5ojasZs7drf2rlCjGwLm/kiRv3rAx545UW+/OIM19W6Rzf8J1G7biSXFt8bH3MZfSuZXqNY2h&#10;wbHEAP+mMWAjhnL+ff11MO2Te0V8wr+pT2zd+WyuDXzuVvtq8AnHpj6xvbFcNTHmyb+5oF3uiAE+&#10;gFM5L/g2jQEbMXB8rl6bZVsl3uGeZ7kqtyyMN3YaB7i78ScDuPBtiout23Pn2RFsOH9NwNbhXZ37&#10;t0MMcG8aA7Zuzn25GB/25X5vZRe4uzXmV/LNucPBKS62bs8d5DXCXqUMrAjYOrzjuV8q+wI1NsG3&#10;OIV6mV+OKTp/fwj+8VjW0SK1YbVO92qM64WPD2j8XrXX1GIOuVk6NvrWq8WbOWRcnTk+5lj4OPX7&#10;hPq68QsbtePjmo6fUONd70uS8B8vL+LYbeP4XOybZONKzn3aKslO6whM+Aw8uC7Fs21A9hzeuGxj&#10;4V4FfzT4DJ9wXerTtnKfzXnovNwefMJ1qU/b+pWXHYp9cF7zHOC1FM825n8uL9SBeznqvTbkR65a&#10;9aAuPrePBiy4LMWyrfzcuNqt1Yru/JzKuT0c8OCtFM+2snPjGgtrrArnJFdtz+0fAhZclWLZVn5u&#10;MOQa4S1rYaR4Jwt/WI24a2rkn7U+qIm2V3JEMl5LttGXq+G4bDkewO/+Nn7hAWxlfse0PjlvmmOH&#10;F4l9pxrPl4fJDzzw1iR225hDudg3y8bVlGfPtfpzpXRzATLNH7g01jy48EGKa5vMWdxx2caKRxvP&#10;avbJmscnfJD6tK3c5zQfkB+eIfEJH6Q+bet3fiaE+1rAhRdSXNvK5vMqZYg3aMtK+Bk81j/nCTek&#10;eLaV4fE0yVWe5zzPAblr7dNXU5tQ45kRPLghxbOtDI93WNxRcR0qw4MDwIMfUjzbyvDOaJwfZ5fH&#10;8xoTzAx+WCTsveo7RZI16w1+wFa2jnP8wLH75SP1Cz9053csyw8T8sG9wPHCgB9OTWK3rSxvvMuF&#10;HeCiTnVibrD2wYMXUjzbZC7hhen34Ds09vzgE15IfdpGvXIcB8dzHeIae4b2OQdNp9a5xPOaewTi&#10;hy9SLNvK89W8U+etUKd8TSgGuAA8eCLFs60cjyeTNTq/lR3xyOXVwgEPnkjxbCvLJXcQXDFWhndt&#10;7XIJFvcIYMERKZZtZVjMPOq2XP461Q0OAAt+SLFsK88js2Stzi3PfycrjmE14q6pMbfggNOFvVfy&#10;TEm4wJtt9OXm57hsOX7A737ZU7/wA7Zyv9OfeTr2+TqW2Her8a7kXfIDP7w3id22bt6jMPtgc97Z&#10;Lc/cx6pErfnpNUcc8AIxwBlpDLbJ3DF/Y7LHPrlfwCeckfq0rdznl8+3T3LFuxJ8wg2pT9t6z1X7&#10;ed0uV8TwQogBvkhjsK2bGJjjsMZKzby1xebG53MpZqrXhM89Fe+pyQMcksZgG3nLzffNsq3SfQ1P&#10;n3x6tVI6493ktrXv/IPLuxJw4ZMU17YyXD4jaH46wV1AcaYxke1wd6ufdyXgwi0prm3d5Lz5HMQa&#10;Wavz767uXrOCnsE36xTPXvVdLgkHeINvsJXzQvvvWHAsfJP6hW+687siez9CDXkmOVsY8M2GJHbb&#10;ymq4TEzD3F2rCqqGM+ZKuxrWNAYeAReOSXFtkzk7Z8dlG9ObJ2LDHw0ewScck/q0rdxnM378kR+e&#10;SfAJx6Q+bet3fiaEy70GuPBKimtb2fWT+x2u1ms0u4mRJnetfeduh/q41wAPDknxbGPO5zhkk2zN&#10;NxnMhTzWhGw8j4AFb6RYtpWd24rGswMreKx1PnLX2ve5gcf9BnjwRYpnWxle81stcFXvzypXChtu&#10;uEoSHvAGN2CjL5fXcdly9yIcCzekfuGG7vyuznLDhHzwPHKFMOCGjyWx21aWt+Y7TZ6c83mrCYvG&#10;ugcPTkjxbJO5Y67GZHftmdc8j+ATTkh92lY2r7kL5f56mf4OXW4NTQiL5xGw4IoUy7byfLFmm59g&#10;g9UJDx4AD45I8WzrFo+nyU54rO/PCgc8OCLFs618Lk8/g1HzCTXWPH7hg9SvbWXnwTsz7p5429jp&#10;PMBjzYMHH6R4tpXjcbfEd0N6fzbZLmz44EZJ8uUNPsBWnsP29wocu18+Ur/wQXd+23/mTJ12q/H8&#10;cY0w4IPPJrHb1s19F2uJZ5MzlLsx+W03x1WiVh2xEwPX42dCDHBEGoNtjM/x6WbZlgu5+RzLM9JM&#10;nHa4YHP/wLnDIymubTJnccdlG1PzuezWPs8o+IQvUp+2dZNPvuPG+fSaT2J4IcQAh6Qx2NZdDM0r&#10;Mt8QWRPOUy5n1DDVa7JPqPE+lDzAK2kMtpWtR54jmt9uXNHCbIfHHOLZBDz4JsWzrWwO8Va2+RaO&#10;z1Le3dX3KfmeDbjwToprWxkuVyG/pV1d8rx0ss51WE1wjfUDh8MxX1QM8M/NknCNN9voy62fcdly&#10;9yP4hX9Sv/APtnK/+c9WJuSDe47Pyw/886+T2G0rmyes/eZT7vR1qN08qQmPew7w4JoUzzaZO+Zq&#10;LNQIf1vULg8+4ZHUp20yZX3ih2vdmCRzxY3+CTXuM4gZTkn929Zdjnif2DlH4HGfAR78keLZVo7H&#10;J668gejufSl4cEWKx3MKNuZ7bv6yBmAK3rOs1D7502GtPKLX1Hao8U4Uf/BEimVbGRazrQxrQljc&#10;d4AFN6RYtpXnEWbonMeThdWOE24V9l7ZviXJOvUGJ2ArX7vt70k4dr98pH7hhG788pkU501z7PO1&#10;T43gct5RfE0YcMLtSey2UdPcfNgsG88ocPlyVWq5dK+p3NwAm/UPLtyQ4tomcxZ3XLYxNc+3Ce2f&#10;FXzCDalP28rmQPM+mPurzmuX3PH+gnOAK1I828pzx/We5yOe8cpzBy7fLwMXzkhxbSvHXaNq8XaD&#10;6++Xz2O8m9y29umjXhNq3EuAC3ekuLaV5xeuIsud36lwntxLgAd/pHi2lZ0nTA+H8LcnVsqnzxEp&#10;tzP0mnRwuZcAFy5JcW0rx+VdXpNNVic4Ka7XpeBm3Gfcoxj2qu8+SfjDG5yCjb7cuhyXLXefwbH7&#10;ZU/9wind+OWtEXWmOfb52nf+4I07hQGn3J/EbltZ/pqf2sMp3X0nHGx4A1w4JcW1TeaOORuTndjw&#10;R9scfMIpqU/byn1Of/7L/IIbiBPeSH3a1lt+Zs7jecLgeDfOA1y4AVx4I8W1rQx3hXix+a0K1tU0&#10;BsflcPkMBVx4I8W1rQyXT3Wa34bimbf53trnl8OFI8CFP1Jc28pxVzWubbzfWVl8o5QnzR/gwh8p&#10;LvyBrQyXKyl3IzyXrS7GO/4dEK9Bwc3gj4eFs1d9P5JM+QPbG+UPjoU/Ur/wRzd++Uy1jD+mhAF/&#10;/DiJHf7AVpY/MLi+Nf8e5UMd81cLeYMj8A1/pLi2ydwzf+AT/kh9wh/YevFp/uA4+CP1CX9g6y0/&#10;w43PhTmGpinakNbJj/kD3/BHigt/dIPL9bj55o9PBMr/rg+4cAS+4Y8U17ay8+Va2LzP4pP9mecn&#10;twed74T6eHcKLvyR4trGPM5dgzfJxjrmzdJYF/c7cAN48EaKZ1vZeTb/LgH3HdyVzzyv9DxzvPGY&#10;YoA39kumvIHtjfIGx8IbqV94oxu/3Au0441LdfwCNTalrnVPQq58jlV8N5+Y+W4+v782IqxhNe3O&#10;uA9iDDz2XyXjXMJjP1JfWT2ZtXyiwXurZfLNeLe0nrWADVeBC4+luNjA1f/ZeTsu25gaOPjcocZn&#10;PfiEx1Kf2PBJ7jutBe78eeO/TOPw3S5+8xtY8FuKBb91lze+Y8WTRnd/j978Bi78luLCb93g8u1P&#10;cHmPuzqcZ6d6md/Ahd9SXPitG1ye4pr3ZdwxlN8fTSg2OAxc+C3FxQZuOb+BylNk53dPnCccBh78&#10;luJh6+Y8uZ43/37B9N9byuX3zeIFnWJPf2fneR2wV8f8UjLmCJ7zsNGXW1fjsuWe8zgWvk39wrfd&#10;+OVdbzu+ren4CTXeGf9MGPDbr5LYbSufP1STv5HV3XdxwYPXUjx4DZv+75irMdlTXuM4eC31Ca9h&#10;K+M11ju5Whl8ayq3ONpYE+rj/TH+4LUUy7byfPGmjWeCzp/TgMf7Y/DgsxTPtnI8Phfmu2VjrXNq&#10;d35cI3h/DB48luLZVpZLZgPfa18hf+SuHdaE+uEnsOCuFMu2snPjO4PNXHZ+1wce75DBg7tSPNvK&#10;8PieXPPs8u++ThbWsBp5qqltUoMHDgh7r+RrkilHYHujHMGx+9v4hSO68cv3hzhvmmOfr31ih/O5&#10;z3lJGHDE60nstlHnHL9tlo1nuebn3XwSsLj0s0Kw4QNw4YoU1zaZs7jjso2pef3ik+c1fMIVqU/b&#10;yn0e/C4In3BC6pN7HWy95af82k9duJ/BN9yQ4tpWjtu812EOLCsuu4DxbnLb2qeP/E2o8Z4YXDgi&#10;xbWtu3XEd8nyfy/OeHABePBEimdbGR5/k5F1yxuZTudHXrmPAQ+eSPFsw0en+e7vMvNNwGUaa0yk&#10;3M/QveYEN4MvBrXe9qpvRFL/tza4BBt9uRjGZcvdU3DsftlTv/BFN37521/km+bYzRcT6uO+4TA1&#10;+OKt7KvPm21l9eJdYfOa1d135sCDJ1I8eAKbytkxV2OyU5taaHABx8ETqU/bevE5Ib/cH+ATnkh9&#10;2tavvOwQ3qAmGnjwQ4pnG3MuN4c2yda8s+O5pJmfdO6Srwk11j1YcEKKZVv5uXFfxOzqfC3n3Pjs&#10;GTw4IcWzrezcuCvimWel/LVblzX1T6hxbwAWfJBi2VZ+bry54rknf8/ntUTcYJN/1voiYe+VPEVS&#10;/7c22+jL1XBcthwP4He/7KlfeABbmV+eyjlvmmM3D+xUH/cGx6vBA6eq6f/WZht5z8W+WTY+Y2x+&#10;x4i3juu6vm8AFz5IceEDbL2sXWrBmuc4+CD1aVu5zw81rq/4Iz/cG+ATPkh92tZbfp54D+PdNG1b&#10;+/SBO6HGcwO48EKKa1vZfG7eNfBN087PfJwn7z/AgxtSPNvKz9PvDHgnVH5/ZI4AF45IceEIbKy1&#10;3PzbJFvzzQhv7vIcwTlyX4A/OCLFsq38HJvf4ONfJzyj5L261xvx19Ru0eR7VXKpYnhR+2dI6v/W&#10;Ztsq9eTO9yHZLtK/7n21fqHzev15ZjGq3065trhGv9D56eJTxdbiY/rtt1+rZ1R92yW3qtF3texb&#10;1Xt9Q15bfEajt0vbXmxr9GPb0djbKITzi/dIb/KG+QOpadngEiSN+OlXaltyftin33Yfy7i4j/54&#10;nP3Yv3WPwzfHx9j2bWn/jKGe9CPt03Wh/1K1BWps1Mk2xnu/7J02fjx2QPuL1IbVcv/ezCuyvVdB&#10;/r4Gr5ccCeM5tqb2stqraozZrc73S+r/1mbbCerJzZPdsp2v2l7TqPZnilHJq8UszJLrVWVqTu8n&#10;GpKeUdl36M9d55BjcjVPjZzE+UMnN27ojPMYyzT3HuP+tBbk2DnEx5tRlwHhknM+a2hXlx/I/hUN&#10;YgzvJtK62PZWjcvV5XrZeNoYVQWu1p9bi+a/EEzmmz08/cDczZySC+fMc9g5JvfOY7sxjHNzbudK&#10;npW+g97dMscdZy/rLz4Ov92svxGNe1aTEjz2Wa8cW1M7SzsXyyl1/H0l9iRJqa3NtiXqydX5NtnG&#10;i3a/Czfzl3dGi39ejGZGlv3mC2vqaLWj1I5UQ2cfyRqm0W8bMrYzznaP7eQzHWvdfl27eI6RN/fH&#10;+1XX9xThUt/VkiNqcX1/oPrym/OM+Ynqu0qS2LzZdrY6cvV9VLZRMewG/eYfdf7PjV8S2ai+5q+a&#10;bNQvaFysX+u5QiOmez+oa/UFGj2q/05v/Mkvn13U+DUSRl2o3yQZlcdLhLu+8Usp/JqNfY7Lzm/b&#10;0OPaUU/mQFwL2+jzPvWN9z1nXLvcWB9jO3rc3O/5g572MZ4YkYyjGd/HYeM49HifPo+l33NpLsyx&#10;NYqHOXaJ5EFzTH33aFIx5hTNsYsk4zlmGxyTm2PXy8aTtq8M3N19uvi8ruHumb5WsJ5o5Mg5Zp95&#10;jz6oht35jcf4WMuyHOPLYzjG+9TkJOlg8m/dLZYEx/b4uAH1L1ILY9v+G8qvyP7P1MjxJsmRMJ5j&#10;a2oXKKGjaoz5jnL8IUmprc02xuZy/Kps4428cjc9Kr/cJ3+s8edWvQ1gjW/VfdOLumu6QfdH5P4S&#10;RYOF31m+XpaPtSw89zRrw/X8Qt1hcWfFkdc3jtygIz5e/I3uyLfrKNeRsRvVw+irG/fwo5ov6b37&#10;da1rudLRuO4PRZJ9+pHxvtLSun+wjRzRj84+Ep196uljPFdsi4/3Me6zP/TYfzzOY2JpDPvx8dY9&#10;1v3oxBjHjQ0/SI+33X58PNJ58ryMuSSeo/jwmF7meXzcgHyUzfPrNOaTat9Vm1QbUWNdcGxNbYfa&#10;LrV/oXan2tfUwPC2SzvYiD03z1k/Nc3ccV0/RrXvvJtfyQlYO9U+o7ZH7U/UbleLsWwjHzmszbJx&#10;JQOPq90F0sEDK8ZFpznHcR3AdH+8X2Ud6sKkDgfU2tWB3DyoRq759yfTOthWlhvuGvid3ItDLVwD&#10;JHXgekeLa0I8e9ReUEtrYlsZbj9rwjpyfcD1ftk1ID6O+b1IbVit07MyNTlbk4DzHAnjOZb5ulvt&#10;C1K+IvmA5F5J5os328htbr5ukW1mbrjPavIJ50aDV5DMXyTngYzP2/vxOQ5GY9LxJ8kWzr0v18qv&#10;6vzJ0z7JNE8vC+tVtVtl+zdq31KL82TbCRqTyxO5vljWDQW/ML2+4KrV+S53o94irVNr5o28OH9I&#10;dOc1tsV5ju3scxxxe4zttiFdh6rzPSUs8v2YZC7f35Ntr3L9Y8k039jK8k2e14sr+LXCD3ed8eY7&#10;HHJKA9d5JyfOWb9yfqjy/bhiJ9/PSqb5XqgcM4efVPuB9p+RTPON7SS13PzeI9s63dvxfAZHr4+e&#10;y+nrdrY710jnmn3Xw/vUghjjcf2qyaFcB8/pHKjLC5IjasNqKkGDn4e1Q12eV3tQ+7+U5Jy92Taq&#10;jlxdbpEtfdL2M3Fak/MadXuq+KCqeEWjZk0GItfk2blH5vLvmpXVwr5cQ/v08Uj6DmUtXhQetaAA&#10;aS3WhlockPlvtf+aZFoLbKeq5Wpxm2zd1qL5JmT6nce68D6E315lNfnaUEVtqJ3zzzkaw33o7rPE&#10;xr7HIA8Vtw2oHtTtWMm0bheoj3UyKPkL7Gpp3bCdpjG5uu2TbaPeqnMd4d7THBe/vfKa6p7ppv9e&#10;iec++SM2z3vnFj1eT+kY18s1iMfah2uD9Hj84stjfPybUcPjVANquIQaKaZhNe02ePA5SWq4SB03&#10;qZ2iRtzebFuojlwNb5Lt/Y3qdV8h8kIDy7n5bcztacoXuT1LMs0ta4b8nS75iNqZamlusS3WmFxu&#10;98iWXktS/trY4K91ej97oa4tl4gHWU0Hc9ls8+uaMbe9blxDJH2WrumbMd/fp5xSk3HJtCZL1UdN&#10;1kk+pXa5WloTbPBrriZfl41c1zSCt+QXFr4v4637eYHFyqvm64xzSX1oxON959FjkDTnnX2PmW19&#10;34xafUC5plbbJNNa7VEftbpScrXGXCVJbry1bOrI1eoh2fgc5PKC96IzV8hoVL/mmmreXcdV7Pae&#10;wncNcQ2cT2pEv2vmNYJkDDbOC0mL6+l9+0DS7Iv9eEw8rt2Y1L99pTE5Nvs/VPcbV6vGzIedkiM6&#10;t2E17TauVX8nSc23q+MrajeqpfMB2yKNyc2HXbKVrUyebS+awZ/N+wly1ylfzi1jiMs5pT70YbcP&#10;18w25KHK8eeUI3J8i2Sa4/nqI8dflPyO2s1qaY6x/RONyeX4FtnKcsx6W1/wWcRG1ZZ3sbz/9Spq&#10;fkfLuSKPzqXnJbJTvm33GKT7XEPkm1mH45RY6nCa2ohiief6DuWYOvBdyhPVTlHT/63NtjH15Orw&#10;Hdli/mreXTeZLq1Pk/ngR985dPcGjZySR89v55ZY4/y6DmkNfDzStYh9uW6pL+O0O95YjCEOj7F/&#10;pP0dqjV3h+pJrR+QHBF+XGvfJ94j20Nq96kRtzdqjW2xZK7We2TjM5SNuvvg8w3eMzTvSto9SaXV&#10;97qb5idyRgzkEkm+nDPnEx070uPjMa4Dtnicj0e+mTWZVE6pyaOSI4olrsmY+sj7w5J/p8bfTSUP&#10;3mw7RR25mnxdtrJ1xf06HMhnLhuLUflapzvIDY1vXqxvWKZZ0XlzLpHucx5to982pO2cQ3yca4c9&#10;Ptb9SPp9jP0gsSEP1Rp6TDWgXj+VTOu1UH3UhDF/prZfLa0XtpM0JlevPbKdp/+aayddI+lTV7Oy&#10;8b2iV1Gce+eIvji/7WqD3Xkldo9xzl0LJA0742IMH38o6/KM8kpdXpAcUTzxOrpFfdTleUm+V/xL&#10;SWL2ZtsqdeTq8lDDBp9dWHxAz7r+9JaV0fkqxTq6WCvqch2zUXf/3GNQtw3iSp6V+R4cXBnfe0zX&#10;iRzGNSNu1wTpusRjcnbXJfbhPh8T1zTuMw52Gng0j2Efv7Z7vP0jD9UafVH1ZS4Q0IhEPBd8nTug&#10;MbwPeU2Nod6YC9gWS+bmwh7ZLlPdxnWHfoVq2Kwnn/1NP3lPv9lN54dX6HSu4lyy79w5z84puSZW&#10;dOcV3TXwcfhgDP22IW33schDVRO+N0hNjlUbEW5ck83KN3kflO117Y9I6v/WZtvp6snV5I9lO0/5&#10;v6RtNVhv3dyDpPw6XSvnkbicR3LsXDvf2NmPx8Tj8JOOiWtuf4wzJtL+PBaf+PEY25HGPxS1Vbka&#10;z8bp78MSl/HLvvcwGI3FH8/OzI/c9x5kamzGPFXaQrUjm92tP41P/xI1zznm0Da1f6/G9ye+qzap&#10;Zp28Xqq2uPG3DbTT2Had4z194yjan+6N94zxsjrBOKAGxstq6P3EeJ+c4ZP1BYb1fmLcFjC+GTCs&#10;9xNjvibv/2fvDFokO6sw3FciRInSiywUg0SZSUbdhqwCubUwIHYgUJuBAQuKUdCggqssXRkX+Q0h&#10;/6CqYBR34iqTfxCMP2EWVfUHxvNMn3dybL4zi5n77my8+ert7+17n75T9zwzk0jzfXwrVr4P5SWv&#10;cT+v8eu8hvKS1/g8r/Ewr6G85DXeeOn6Xr0ZK/dKeclr/CWv8XFeQ3nJa/w7r8F/x8r3obzENX4V&#10;57sbA4WZwsetON6K4y7h+pOvMxdezmO6eP3JnH36BfSefjyOgfTkf0/mEp9mPo3W0edqt74edUef&#10;q19TX4+6o8/Vr6mvR93R5+rX3I6CZqnmap2x8bZ/8v8feC1WXt/80Nez94M4LuP4YxxfxPF2HJdx&#10;7OMgqxtvjyfuvx+rurvsKK8i88v6InNb16tsh7yO2E6Z1a1s6h6zozxHnuJYmu2c1xEbDujum7r4&#10;gY7yVYA52N7N64gNd3Rs6uIVOso8ww62T2+w4ZyOTV18REcZVznYvp3X0X3DVR2buniMjvI9E9tv&#10;brDhuI5NXfxHR3lrYvviBhtu7NjUxZt0lF3vtzt5Hf2a4tSOTV18S0d5Y7pvf73Bhos7NnXxNB3l&#10;tYmN2f5VHLpv+8yj2avuLjvKq8iO5/SQ1xHb6Rls6h6zozxHnuJweKHeN7xAHt23c3yePbzAquz0&#10;QmXDCx0bHmAPL7Aqu55TZntlwwsdm7p4gY7yh/Ha8WvKbK9seKFjUxcv0FG+Z2Jjtlc2vNCxqYsX&#10;6ChvTWzM9sqGFzo2dfECHWXX+43ZXtnwQsemLl6go7wx3Tdme2XDCx2buniBjvLaxMZsfxSHZu8+&#10;82i+qbvLjvIqsuM5PeR1xHZ6Bpu6x+woz5GnOBxeqPcNL5BH9+0cn2cPL7AqO71Q2fBCx4YH2MML&#10;rMqu55TZXtnwQsemLl6go/xhvHb8mjLbKxte6NjUxQt0lO+Z2JjtlQ0vdGzq4gU6ylsTG7O9suGF&#10;jk1dvEBH2fV+Y7ZXNrzQsamLF+gob0z3jdle2fBCx6YuXqCjvDaxMdt5yDR795lH803dXXaUV9en&#10;WHz2HvI6Yjs9g03dY3aU58hTHA4v1PuGF8ij+3aOLfbwAquy0wuVDS90bHiAPbzAqux6TpntlQ0v&#10;dGzq4gU6yk4vVDa80LHhAfbwAquy0wuVDS90bHiAPbzAqry9jos/C8z2yoYXOjZ18QIdZdf7jdle&#10;2fBCx6YuXqCjvLmOi983Zntlwwsdm7p4gY7y2sTGbOe//dDs3WcezTd1d9lRXkWOUyx+3w55HbGd&#10;Mo/Y1D1mR3mOPMXh8EK9b3iBPGI7JxNeoKPs9EJlwwsdGx5gDy+wKrueU2Z7ZcMLHZu6eIGOstML&#10;lQ0vdGx4gD28wKrs9EJlwwsdGx5gDy+wKm9NzwKzvbLhhY5NXbxAR9n1fmO2Vza80LGpixfoKG9M&#10;943ZXtnwQsemLl6go7w2sTHb78R1NHv3mUfzTd1ddpRXkeMUi8/eQ15HbKfMIzZ1j9lRniNPcTi8&#10;UO8bXiCP2M7JhBfoKDu9UNnwQseGB9jDC6zKrueU2V7Z8ELHpi5eoKPs9EJlwwsdGx5gDy+wKju9&#10;UNnwQseGB9jDC6zKW9OzwGyvbHihY1MXL9BRdr3fmO2VDS90bOriBTrKG9N9Y7ZXNrzQsamLF+go&#10;r01szPZ34jqavfvMo/mm7i47yqvIcYrFZ+8hryO2U+YRm7rH7CjPkac4HF6o9w0vkEds52TCC3SU&#10;r+K1g43ZXtnwQsemLl6go+x6TpntlQ0vdGzq4gU6yk4vVDa80LHhAfbwAquy0wuVDS90bHiAPbzA&#10;qrw1PQvM9sqGFzo2dfECHWXX+43ZXtnwQsemLl6go7wx3Tdme2XDCx2buniBjvLaxMZs/yCuo9m7&#10;zzyab+rusqO8ihynWHz2HvI6YjtlHrGpe8yO8hx5isPhhXrf8AJ5xHZOJrxAR/kqXjvYmO2VDS90&#10;bOriBTrKrueU2V7Z8ELHpi5eoKPs9EJlwwsdGx5gDy+wKju9UNnwQseGB9jDC6zKW9OzwGyvbHih&#10;Y1MXL9BRdr3fmO2VDS90bOriBTrKG9N9Y7ZXNrzQsamLF+gor01szPb7cR3N3n3m0XxTd5cd5VXk&#10;OMXis/eQ1xHbKfOITd1jdpTnyFMcDi/U+4YXyCO2czLhBTrKTi9UNrzQseEB9vACq7LrOWW2Vza8&#10;0LGpixfoKDu9UNnwQseGB9jDC6zKTi9UNrzQseEB9vACq/LW9Cww2ysbXujY1MULdJRd7zdme2XD&#10;Cx2buniBjvLGdN+Y7ZUNL3Rs6uIFOsprExuz/aO4jmbvPvNovqm7y47yKnKcYvHZe8jriO2UecSm&#10;7jE7ynPkKQ6HF+p9wwvkEds5mfACHWWnFyobXujY8AB7eIFV2fWcMtsrG17o2NTFC3SUnV6obHih&#10;Y8MD7OEFVmWnFyobXujY8AB7eIFVeWt6FpjtlQ0vdGzq4gU6yq73G7O9suGFjk1dvEBHeWO6b8z2&#10;yoYXOjZ18QId5bWJjdn+SVxHs3efeTTf1N1lR3kVOU6x+Ow95HXEdso8YlP3mB3lOfIUh8ML9b7h&#10;BfKI7ZxMeIGO8lW8drAx2ysbXujY1MULdJRdzymzvbLhhY5NXbxAR9nphcqGFzo2PMAeXmBVdnqh&#10;suGFjg0PsIcXWJW3pmeB2V7Z8ELHpi5eoKPser8x2ysbXujY1MULdJQ3pvvGbK9seKFjUxcv0FFe&#10;m9iY7Z/FdTR795lH803dXXaUV5HjFIvP3kNeR2ynzCM2dY/ZUZ4jT3E4vFDvG14gj9jOyYQX6Chf&#10;xWsHG7O9suGFjk1dvEBH2fWcMtsrG17o2NTFC3SUnV6obHihY8MD7OEFVmWnFyobXujY8AB7eIFV&#10;eWt6FpjtlQ0vdGzq4gU6yq73G7O9suGFjk1dvEBHeWO6b8z2yoYXOjZ18QId5bWJjdn+IK6j2bvP&#10;PJpv6u6yo7yKHKdYfPYe8jpiO2Uesal7zI7yHHmKw+GFet/wAnnEdk4mvEBH2emFyoYXOjY8wB5e&#10;YFV2PafM9sqGFzo2dfECHWWnFyobXujY8AB7eIFV2emFyoYXOjY8wB5eYFXemp4FZntlwwsdm7p4&#10;gY6y6/3GbK9seKFjUxcv0FHemO4bs72y4YWOTV28QEd5bWJjtj+M62j27jOP5pu6u+woryLHKRaf&#10;vYe8jthOmUds6h6zozxHnuJweKHeN7xAHrGdkwkv0FF2eqGy4YWODQ+whxdYlV3PKbO9suGFjk1d&#10;vEBH2emFyoYXOjY8wB5eYFV2eqGy4YWODQ+whxdYlbemZ4HZXtnwQsemLl6go+x6vzHbKxte6NjU&#10;xQt0lDem+8Zsr2x4oWNTFy/QUV6b2JjtX8Z1NHv3mUfzTd1ddpRXkeMUi8/eQ15HbKfMIzZ1j9lR&#10;niNPcTi8UO8bXiCP2M7JhBfoKDu9UNnwQseGB9jDC6zKrueU2V7Z8ELHpi5eoKPs9EJlwwsdGx5g&#10;Dy+wKju9UNnwQseGB9jDC6zKW9OzwGyvbHihY1MXL9BRdr3fmO2VDS90bOriBTrKG9N9Y7ZXNrzQ&#10;samLF+gor01szPZHcR3N3n3m0XxTd5cd5VXkOMXis/eQ1xHbKfOITd1jdpTnyFMcDi/U+4YXyCO2&#10;czLhBTrKV/HawcZsr2x4oWNTFy/QUXY9p8z2yoYXOjZ18QIdZacXKhte6NjwAHt4gVXZ6YXKhhc6&#10;NjzAHl5gVd6angVme2XDCx2buniBjrLr/cZsr2x4oWNTFy/QUd6Y7huzvbLhhY5NXbxAR3ltYmO2&#10;80NpNHv3mUfzTd1ddpRXkQN18dl7yOuI7ZR5xKbuMTvKc+QpDocX6n3DC+QR2zm22MMLrMpXAeZg&#10;Y7ZXNrzQsamLF+gou55TZntlwwsdm7p4gY6y0wuVDS90bHiAPbzAquz0QmXDCx0bHmAPL7AqbyM6&#10;3m/M9sqGFzo2dfECHWXX+43ZXtnwQsemLl6go7yJ6LhvzPbKhhc6NnXxAh3ltYmN2c7P7NPs3Wce&#10;zTd1d9lRXkV23LdDXkdsp2ewqXvMjvIceYrD4YV63/ACeXTfzsmEF+goO71Q2fBCx4YH2MMLrMqu&#10;55TZXtnwQsemLl6go+z0QmXDCx0bHmAPL7AqO71Q2fBCx4YH2MMLrMpb07PAbK9seKFjUxcv0FF2&#10;vd+Y7ZUNL3Rs6uIFOsob031jtlc2vNCxqYsX6CivF2B73p+v+fu49m/j+EMcPwkm5Xh58a8YukvP&#10;3H2c9+9xyAfkO3Gx0cxljy7rm9FhJeOCPxnYTnl+sZE7NnVZYVOeTGy4ie9dbOSOTV1W2JRdbLip&#10;spE7NnVZYVN2seGmykbu2NRlhU3ZxYabKhu5Y1OXFTZlFxtuqmzkjk1dVtiUXWy4qbKROzZ1WWFT&#10;drF9fION3LGpywqbsosNN9X7Ru7Y1GWFTXkJtquYY/fjuP3N65+P+0asuEc5Xl78My70Iu7RNfjz&#10;DX7jGr+LVfkf8X1xnaWu8SCv8be8BnmJa/B7qrtxL7jvfNyK4604/v/zcR9zO5775/vejq99JQ7u&#10;a/35uPp8jLKnP/f2Py/F73Ejvx3HZRy8T8nqxvbTn3ur7q3sKP8iOlzrRd5vut5Ntq/ivJWNrO5N&#10;NvZgY4WN1cnGz5OpbOSOjT3YWGFjdbLxC1LZyB0be7CxwsbqZHs1zl/ZyB0be7CxwsbqZLsT569s&#10;5I6NPdhYYWN1sr0T569s5I6NPdhYYWN1sn0Q569s5I6NPdhYYWN1st2P81c2csfGHmyssLE62T6K&#10;81c2csfGHmyssLE62T6J81c2csfGHmyssLE62T6L81c2csfGHmyssLE62R7E+SsbuWNjDzZW2Fid&#10;bA/j/JWN3LGxBxsrbKxOti/j/JWN3LGxBxsrbKxOtkdx/spG7tjYg40VNlYnW/13N/z+rft3N7Cw&#10;BxurspOt/v0hbN3fH8LCHmysykuwPe/fH/LnKf4MqT/DKS/xZx8xxVvjfz5uR3olDj4/+r37dy4u&#10;/vzj7DyOjx/F65fj0NfF7bv4/tf7F9/L17Fc/DAOMufm+DzK78f398t4fRkHH3x9Pf97kd+KA5af&#10;v//ez346x69RvOY8gfIu/7g+vn7N17wWx2UcfM035uvvKeLFd+N4lRfxcRkHr/8LAAD//wMAUEsD&#10;BBQABgAIAAAAIQACJqAy4gAAAAwBAAAPAAAAZHJzL2Rvd25yZXYueG1sTI9BS8NAEIXvgv9hGcFb&#10;u5toionZlFLUUxFsBfE2TaZJaHY2ZLdJ+u9dT3oc3sd73+Tr2XRipMG1ljVESwWCuLRVy7WGz8Pr&#10;4gmE88gVdpZJw5UcrIvbmxyzyk78QePe1yKUsMtQQ+N9n0npyoYMuqXtiUN2soNBH86hltWAUyg3&#10;nYyVWkmDLYeFBnvaNlSe9xej4W3CafMQvYy782l7/T4k71+7iLS+v5s3zyA8zf4Phl/9oA5FcDra&#10;C1dOdBoWkVLB3WuI4wREINJV8gjiGFCVqhRkkcv/TxQ/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DgWZAyrwIAANUHAAAOAAAAAAAAAAAAAAAAADwC&#10;AABkcnMvZTJvRG9jLnhtbFBLAQItABQABgAIAAAAIQCFhKWuFlEAALAGAgAUAAAAAAAAAAAAAAAA&#10;ABcFAABkcnMvbWVkaWEvaW1hZ2UxLmVtZlBLAQItABQABgAIAAAAIQDjU4FOuEEAACidAQAUAAAA&#10;AAAAAAAAAAAAAF9WAABkcnMvbWVkaWEvaW1hZ2UyLmVtZlBLAQItABQABgAIAAAAIQACJqAy4gAA&#10;AAwBAAAPAAAAAAAAAAAAAAAAAEmYAABkcnMvZG93bnJldi54bWxQSwECLQAUAAYACAAAACEAf0Iy&#10;4sMAAAClAQAAGQAAAAAAAAAAAAAAAABYmQAAZHJzL19yZWxzL2Uyb0RvYy54bWwucmVsc1BLBQYA&#10;AAAABwAHAL4BAABS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left:438;width:67266;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ZVwAAAANsAAAAPAAAAZHJzL2Rvd25yZXYueG1sRE9NawIx&#10;EL0L/ocwQm+a1YLKahRRLJUSQS31Omymu0s3kyVJdf33zaHg8fG+l+vONuJGPtSOFYxHGQjiwpma&#10;SwWfl/1wDiJEZIONY1LwoADrVb+3xNy4O5/odo6lSCEcclRQxdjmUoaiIoth5FrixH07bzEm6Etp&#10;PN5TuG3kJMum0mLNqaHClrYVFT/nX6vAHLWePq5ad2/B7b4OxuvZ4UOpl0G3WYCI1MWn+N/9bhS8&#10;pvXpS/oBcvUHAAD//wMAUEsBAi0AFAAGAAgAAAAhANvh9svuAAAAhQEAABMAAAAAAAAAAAAAAAAA&#10;AAAAAFtDb250ZW50X1R5cGVzXS54bWxQSwECLQAUAAYACAAAACEAWvQsW78AAAAVAQAACwAAAAAA&#10;AAAAAAAAAAAfAQAAX3JlbHMvLnJlbHNQSwECLQAUAAYACAAAACEADUN2VcAAAADbAAAADwAAAAAA&#10;AAAAAAAAAAAHAgAAZHJzL2Rvd25yZXYueG1sUEsFBgAAAAADAAMAtwAAAPQCAAAAAA==&#10;">
                  <v:imagedata r:id="rId26" o:title="" cropleft="4238f" cropright="3730f"/>
                </v:shape>
                <v:shape id="Imagen 31" o:spid="_x0000_s1028" type="#_x0000_t75" style="position:absolute;top:35405;width:67316;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Q4xAAAANsAAAAPAAAAZHJzL2Rvd25yZXYueG1sRI9Ba8JA&#10;FITvhf6H5RW8iG5UKDZ1FSkNerAHYw8eH9lnEpp9G3bXmPx7VxB6HGbmG2a16U0jOnK+tqxgNk1A&#10;EBdW11wq+D1lkyUIH5A1NpZJwUAeNuvXlxWm2t74SF0eShEh7FNUUIXQplL6oiKDfmpb4uhdrDMY&#10;onSl1A5vEW4aOU+Sd2mw5rhQYUtfFRV/+dUoCFneDdvxeHf5Huwhcz/n+mOwSo3e+u0niEB9+A8/&#10;23utYDGDx5f4A+T6DgAA//8DAFBLAQItABQABgAIAAAAIQDb4fbL7gAAAIUBAAATAAAAAAAAAAAA&#10;AAAAAAAAAABbQ29udGVudF9UeXBlc10ueG1sUEsBAi0AFAAGAAgAAAAhAFr0LFu/AAAAFQEAAAsA&#10;AAAAAAAAAAAAAAAAHwEAAF9yZWxzLy5yZWxzUEsBAi0AFAAGAAgAAAAhAMUNxDjEAAAA2wAAAA8A&#10;AAAAAAAAAAAAAAAABwIAAGRycy9kb3ducmV2LnhtbFBLBQYAAAAAAwADALcAAAD4AgAAAAA=&#10;">
                  <v:imagedata r:id="rId27" o:title="" cropleft="4547f" cropright="6812f"/>
                </v:shape>
              </v:group>
            </w:pict>
          </mc:Fallback>
        </mc:AlternateContent>
      </w:r>
    </w:p>
    <w:p w14:paraId="3329E613" w14:textId="7A6CE2F2" w:rsidR="00E345B4" w:rsidRPr="00F25B58" w:rsidRDefault="00E345B4" w:rsidP="002753EA">
      <w:pPr>
        <w:spacing w:after="0" w:line="240" w:lineRule="auto"/>
        <w:jc w:val="both"/>
        <w:rPr>
          <w:rFonts w:eastAsia="Calibri" w:cstheme="minorHAnsi"/>
          <w:b/>
          <w:bCs/>
        </w:rPr>
      </w:pPr>
    </w:p>
    <w:p w14:paraId="0960D758" w14:textId="72EF8ACC" w:rsidR="00A90727" w:rsidRDefault="00A90727" w:rsidP="00E345B4">
      <w:pPr>
        <w:spacing w:after="0" w:line="240" w:lineRule="auto"/>
        <w:ind w:left="142" w:hanging="426"/>
        <w:jc w:val="center"/>
        <w:rPr>
          <w:rFonts w:eastAsia="Calibri" w:cstheme="minorHAnsi"/>
          <w:b/>
          <w:bCs/>
        </w:rPr>
      </w:pPr>
    </w:p>
    <w:p w14:paraId="1C237D01" w14:textId="36C9CF74" w:rsidR="002753EA" w:rsidRDefault="002753EA" w:rsidP="00E345B4">
      <w:pPr>
        <w:spacing w:after="0" w:line="240" w:lineRule="auto"/>
        <w:ind w:left="142" w:hanging="426"/>
        <w:jc w:val="center"/>
        <w:rPr>
          <w:rFonts w:eastAsia="Calibri" w:cstheme="minorHAnsi"/>
          <w:b/>
          <w:bCs/>
        </w:rPr>
      </w:pPr>
    </w:p>
    <w:p w14:paraId="77286A55" w14:textId="64842CDF" w:rsidR="002753EA" w:rsidRDefault="002753EA" w:rsidP="00E345B4">
      <w:pPr>
        <w:spacing w:after="0" w:line="240" w:lineRule="auto"/>
        <w:ind w:left="142" w:hanging="426"/>
        <w:jc w:val="center"/>
        <w:rPr>
          <w:rFonts w:eastAsia="Calibri" w:cstheme="minorHAnsi"/>
          <w:b/>
          <w:bCs/>
        </w:rPr>
      </w:pPr>
    </w:p>
    <w:p w14:paraId="3DBA59BA" w14:textId="311111EF" w:rsidR="002753EA" w:rsidRDefault="002753EA" w:rsidP="00E345B4">
      <w:pPr>
        <w:spacing w:after="0" w:line="240" w:lineRule="auto"/>
        <w:ind w:left="142" w:hanging="426"/>
        <w:jc w:val="center"/>
        <w:rPr>
          <w:rFonts w:eastAsia="Calibri" w:cstheme="minorHAnsi"/>
          <w:b/>
          <w:bCs/>
        </w:rPr>
      </w:pPr>
    </w:p>
    <w:p w14:paraId="76E9BDBC" w14:textId="0020D32E" w:rsidR="002753EA" w:rsidRDefault="002753EA" w:rsidP="00E345B4">
      <w:pPr>
        <w:spacing w:after="0" w:line="240" w:lineRule="auto"/>
        <w:ind w:left="142" w:hanging="426"/>
        <w:jc w:val="center"/>
        <w:rPr>
          <w:rFonts w:eastAsia="Calibri" w:cstheme="minorHAnsi"/>
          <w:b/>
          <w:bCs/>
        </w:rPr>
      </w:pPr>
    </w:p>
    <w:p w14:paraId="0652452F" w14:textId="1D34DBC4" w:rsidR="002753EA" w:rsidRDefault="002753EA" w:rsidP="00E345B4">
      <w:pPr>
        <w:spacing w:after="0" w:line="240" w:lineRule="auto"/>
        <w:ind w:left="142" w:hanging="426"/>
        <w:jc w:val="center"/>
        <w:rPr>
          <w:rFonts w:eastAsia="Calibri" w:cstheme="minorHAnsi"/>
          <w:b/>
          <w:bCs/>
        </w:rPr>
      </w:pPr>
    </w:p>
    <w:p w14:paraId="0FDFBF31" w14:textId="15B664F3" w:rsidR="002753EA" w:rsidRDefault="002753EA" w:rsidP="00E345B4">
      <w:pPr>
        <w:spacing w:after="0" w:line="240" w:lineRule="auto"/>
        <w:ind w:left="142" w:hanging="426"/>
        <w:jc w:val="center"/>
        <w:rPr>
          <w:rFonts w:eastAsia="Calibri" w:cstheme="minorHAnsi"/>
          <w:b/>
          <w:bCs/>
        </w:rPr>
      </w:pPr>
    </w:p>
    <w:p w14:paraId="114B8B92" w14:textId="1A360E3C" w:rsidR="002753EA" w:rsidRDefault="002753EA" w:rsidP="00E345B4">
      <w:pPr>
        <w:spacing w:after="0" w:line="240" w:lineRule="auto"/>
        <w:ind w:left="142" w:hanging="426"/>
        <w:jc w:val="center"/>
        <w:rPr>
          <w:rFonts w:eastAsia="Calibri" w:cstheme="minorHAnsi"/>
          <w:b/>
          <w:bCs/>
        </w:rPr>
      </w:pPr>
    </w:p>
    <w:p w14:paraId="26CCD9BF" w14:textId="1BCA2A3A" w:rsidR="002753EA" w:rsidRDefault="002753EA" w:rsidP="00E345B4">
      <w:pPr>
        <w:spacing w:after="0" w:line="240" w:lineRule="auto"/>
        <w:ind w:left="142" w:hanging="426"/>
        <w:jc w:val="center"/>
        <w:rPr>
          <w:rFonts w:eastAsia="Calibri" w:cstheme="minorHAnsi"/>
          <w:b/>
          <w:bCs/>
        </w:rPr>
      </w:pPr>
    </w:p>
    <w:p w14:paraId="35C2A6E2" w14:textId="078909F4" w:rsidR="002753EA" w:rsidRDefault="002753EA" w:rsidP="00E345B4">
      <w:pPr>
        <w:spacing w:after="0" w:line="240" w:lineRule="auto"/>
        <w:ind w:left="142" w:hanging="426"/>
        <w:jc w:val="center"/>
        <w:rPr>
          <w:rFonts w:eastAsia="Calibri" w:cstheme="minorHAnsi"/>
          <w:b/>
          <w:bCs/>
        </w:rPr>
      </w:pPr>
    </w:p>
    <w:p w14:paraId="2F4F8958" w14:textId="1954B52F" w:rsidR="002753EA" w:rsidRDefault="002753EA" w:rsidP="00E345B4">
      <w:pPr>
        <w:spacing w:after="0" w:line="240" w:lineRule="auto"/>
        <w:ind w:left="142" w:hanging="426"/>
        <w:jc w:val="center"/>
        <w:rPr>
          <w:rFonts w:eastAsia="Calibri" w:cstheme="minorHAnsi"/>
          <w:b/>
          <w:bCs/>
        </w:rPr>
      </w:pPr>
    </w:p>
    <w:p w14:paraId="61B79919" w14:textId="5B7949CB" w:rsidR="002753EA" w:rsidRDefault="002753EA" w:rsidP="00E345B4">
      <w:pPr>
        <w:spacing w:after="0" w:line="240" w:lineRule="auto"/>
        <w:ind w:left="142" w:hanging="426"/>
        <w:jc w:val="center"/>
        <w:rPr>
          <w:rFonts w:eastAsia="Calibri" w:cstheme="minorHAnsi"/>
          <w:b/>
          <w:bCs/>
        </w:rPr>
      </w:pPr>
    </w:p>
    <w:p w14:paraId="5710D84C" w14:textId="3C46B67F" w:rsidR="002753EA" w:rsidRDefault="002753EA" w:rsidP="00E345B4">
      <w:pPr>
        <w:spacing w:after="0" w:line="240" w:lineRule="auto"/>
        <w:ind w:left="142" w:hanging="426"/>
        <w:jc w:val="center"/>
        <w:rPr>
          <w:rFonts w:eastAsia="Calibri" w:cstheme="minorHAnsi"/>
          <w:b/>
          <w:bCs/>
        </w:rPr>
      </w:pPr>
    </w:p>
    <w:p w14:paraId="7FD40CA3" w14:textId="04F5B5A4" w:rsidR="002753EA" w:rsidRDefault="002753EA" w:rsidP="00E345B4">
      <w:pPr>
        <w:spacing w:after="0" w:line="240" w:lineRule="auto"/>
        <w:ind w:left="142" w:hanging="426"/>
        <w:jc w:val="center"/>
        <w:rPr>
          <w:rFonts w:eastAsia="Calibri" w:cstheme="minorHAnsi"/>
          <w:b/>
          <w:bCs/>
        </w:rPr>
      </w:pPr>
    </w:p>
    <w:p w14:paraId="614601C2" w14:textId="55BE5D9F" w:rsidR="002753EA" w:rsidRDefault="002753EA" w:rsidP="00E345B4">
      <w:pPr>
        <w:spacing w:after="0" w:line="240" w:lineRule="auto"/>
        <w:ind w:left="142" w:hanging="426"/>
        <w:jc w:val="center"/>
        <w:rPr>
          <w:rFonts w:eastAsia="Calibri" w:cstheme="minorHAnsi"/>
          <w:b/>
          <w:bCs/>
        </w:rPr>
      </w:pPr>
    </w:p>
    <w:p w14:paraId="031A770E" w14:textId="295602D8" w:rsidR="002753EA" w:rsidRDefault="002753EA" w:rsidP="00E345B4">
      <w:pPr>
        <w:spacing w:after="0" w:line="240" w:lineRule="auto"/>
        <w:ind w:left="142" w:hanging="426"/>
        <w:jc w:val="center"/>
        <w:rPr>
          <w:rFonts w:eastAsia="Calibri" w:cstheme="minorHAnsi"/>
          <w:b/>
          <w:bCs/>
        </w:rPr>
      </w:pPr>
    </w:p>
    <w:p w14:paraId="63B7D922" w14:textId="1F11D4D4" w:rsidR="002753EA" w:rsidRDefault="002753EA" w:rsidP="00E345B4">
      <w:pPr>
        <w:spacing w:after="0" w:line="240" w:lineRule="auto"/>
        <w:ind w:left="142" w:hanging="426"/>
        <w:jc w:val="center"/>
        <w:rPr>
          <w:rFonts w:eastAsia="Calibri" w:cstheme="minorHAnsi"/>
          <w:b/>
          <w:bCs/>
        </w:rPr>
      </w:pPr>
    </w:p>
    <w:p w14:paraId="0A1E9CF0" w14:textId="53776772" w:rsidR="002753EA" w:rsidRDefault="002753EA" w:rsidP="00E345B4">
      <w:pPr>
        <w:spacing w:after="0" w:line="240" w:lineRule="auto"/>
        <w:ind w:left="142" w:hanging="426"/>
        <w:jc w:val="center"/>
        <w:rPr>
          <w:rFonts w:eastAsia="Calibri" w:cstheme="minorHAnsi"/>
          <w:b/>
          <w:bCs/>
        </w:rPr>
      </w:pPr>
    </w:p>
    <w:p w14:paraId="26C86C76" w14:textId="71F5C1DB" w:rsidR="002753EA" w:rsidRDefault="002753EA" w:rsidP="00E345B4">
      <w:pPr>
        <w:spacing w:after="0" w:line="240" w:lineRule="auto"/>
        <w:ind w:left="142" w:hanging="426"/>
        <w:jc w:val="center"/>
        <w:rPr>
          <w:rFonts w:eastAsia="Calibri" w:cstheme="minorHAnsi"/>
          <w:b/>
          <w:bCs/>
        </w:rPr>
      </w:pPr>
    </w:p>
    <w:p w14:paraId="7C1AEA56" w14:textId="2F9CE825" w:rsidR="002753EA" w:rsidRDefault="002753EA" w:rsidP="00E345B4">
      <w:pPr>
        <w:spacing w:after="0" w:line="240" w:lineRule="auto"/>
        <w:ind w:left="142" w:hanging="426"/>
        <w:jc w:val="center"/>
        <w:rPr>
          <w:rFonts w:eastAsia="Calibri" w:cstheme="minorHAnsi"/>
          <w:b/>
          <w:bCs/>
        </w:rPr>
      </w:pPr>
    </w:p>
    <w:p w14:paraId="31829382" w14:textId="7961A150" w:rsidR="002753EA" w:rsidRDefault="002753EA" w:rsidP="00E345B4">
      <w:pPr>
        <w:spacing w:after="0" w:line="240" w:lineRule="auto"/>
        <w:ind w:left="142" w:hanging="426"/>
        <w:jc w:val="center"/>
        <w:rPr>
          <w:rFonts w:eastAsia="Calibri" w:cstheme="minorHAnsi"/>
          <w:b/>
          <w:bCs/>
        </w:rPr>
      </w:pPr>
    </w:p>
    <w:p w14:paraId="31767805" w14:textId="28E71855" w:rsidR="002753EA" w:rsidRDefault="002753EA" w:rsidP="00E345B4">
      <w:pPr>
        <w:spacing w:after="0" w:line="240" w:lineRule="auto"/>
        <w:ind w:left="142" w:hanging="426"/>
        <w:jc w:val="center"/>
        <w:rPr>
          <w:rFonts w:eastAsia="Calibri" w:cstheme="minorHAnsi"/>
          <w:b/>
          <w:bCs/>
        </w:rPr>
      </w:pPr>
    </w:p>
    <w:p w14:paraId="449D376A" w14:textId="5E63C2BC" w:rsidR="002753EA" w:rsidRDefault="002753EA" w:rsidP="00E345B4">
      <w:pPr>
        <w:spacing w:after="0" w:line="240" w:lineRule="auto"/>
        <w:ind w:left="142" w:hanging="426"/>
        <w:jc w:val="center"/>
        <w:rPr>
          <w:rFonts w:eastAsia="Calibri" w:cstheme="minorHAnsi"/>
          <w:b/>
          <w:bCs/>
        </w:rPr>
      </w:pPr>
    </w:p>
    <w:p w14:paraId="34328F59" w14:textId="12B21623" w:rsidR="002753EA" w:rsidRDefault="002753EA" w:rsidP="00E345B4">
      <w:pPr>
        <w:spacing w:after="0" w:line="240" w:lineRule="auto"/>
        <w:ind w:left="142" w:hanging="426"/>
        <w:jc w:val="center"/>
        <w:rPr>
          <w:rFonts w:eastAsia="Calibri" w:cstheme="minorHAnsi"/>
          <w:b/>
          <w:bCs/>
        </w:rPr>
      </w:pPr>
    </w:p>
    <w:p w14:paraId="5507F728" w14:textId="2DA1AD72" w:rsidR="002753EA" w:rsidRDefault="002753EA" w:rsidP="00E345B4">
      <w:pPr>
        <w:spacing w:after="0" w:line="240" w:lineRule="auto"/>
        <w:ind w:left="142" w:hanging="426"/>
        <w:jc w:val="center"/>
        <w:rPr>
          <w:rFonts w:eastAsia="Calibri" w:cstheme="minorHAnsi"/>
          <w:b/>
          <w:bCs/>
        </w:rPr>
      </w:pPr>
    </w:p>
    <w:p w14:paraId="2E87C82E" w14:textId="2A17576B" w:rsidR="002753EA" w:rsidRDefault="002753EA" w:rsidP="00E345B4">
      <w:pPr>
        <w:spacing w:after="0" w:line="240" w:lineRule="auto"/>
        <w:ind w:left="142" w:hanging="426"/>
        <w:jc w:val="center"/>
        <w:rPr>
          <w:rFonts w:eastAsia="Calibri" w:cstheme="minorHAnsi"/>
          <w:b/>
          <w:bCs/>
        </w:rPr>
      </w:pPr>
    </w:p>
    <w:p w14:paraId="5C815B04" w14:textId="698D9CAA" w:rsidR="002753EA" w:rsidRDefault="002753EA" w:rsidP="00E345B4">
      <w:pPr>
        <w:spacing w:after="0" w:line="240" w:lineRule="auto"/>
        <w:ind w:left="142" w:hanging="426"/>
        <w:jc w:val="center"/>
        <w:rPr>
          <w:rFonts w:eastAsia="Calibri" w:cstheme="minorHAnsi"/>
          <w:b/>
          <w:bCs/>
        </w:rPr>
      </w:pPr>
    </w:p>
    <w:p w14:paraId="78C01B64" w14:textId="7CE7D245" w:rsidR="002753EA" w:rsidRDefault="002753EA" w:rsidP="00E345B4">
      <w:pPr>
        <w:spacing w:after="0" w:line="240" w:lineRule="auto"/>
        <w:ind w:left="142" w:hanging="426"/>
        <w:jc w:val="center"/>
        <w:rPr>
          <w:rFonts w:eastAsia="Calibri" w:cstheme="minorHAnsi"/>
          <w:b/>
          <w:bCs/>
        </w:rPr>
      </w:pPr>
    </w:p>
    <w:p w14:paraId="647AA683" w14:textId="5052DCC2" w:rsidR="002753EA" w:rsidRDefault="002753EA" w:rsidP="00E345B4">
      <w:pPr>
        <w:spacing w:after="0" w:line="240" w:lineRule="auto"/>
        <w:ind w:left="142" w:hanging="426"/>
        <w:jc w:val="center"/>
        <w:rPr>
          <w:rFonts w:eastAsia="Calibri" w:cstheme="minorHAnsi"/>
          <w:b/>
          <w:bCs/>
        </w:rPr>
      </w:pPr>
    </w:p>
    <w:p w14:paraId="15EBF145" w14:textId="1793A209" w:rsidR="002753EA" w:rsidRDefault="002753EA" w:rsidP="00E345B4">
      <w:pPr>
        <w:spacing w:after="0" w:line="240" w:lineRule="auto"/>
        <w:ind w:left="142" w:hanging="426"/>
        <w:jc w:val="center"/>
        <w:rPr>
          <w:rFonts w:eastAsia="Calibri" w:cstheme="minorHAnsi"/>
          <w:b/>
          <w:bCs/>
        </w:rPr>
      </w:pPr>
    </w:p>
    <w:p w14:paraId="15BBEF11" w14:textId="65CF10B4" w:rsidR="002753EA" w:rsidRDefault="002753EA" w:rsidP="00E345B4">
      <w:pPr>
        <w:spacing w:after="0" w:line="240" w:lineRule="auto"/>
        <w:ind w:left="142" w:hanging="426"/>
        <w:jc w:val="center"/>
        <w:rPr>
          <w:rFonts w:eastAsia="Calibri" w:cstheme="minorHAnsi"/>
          <w:b/>
          <w:bCs/>
        </w:rPr>
      </w:pPr>
    </w:p>
    <w:p w14:paraId="53C0A5B4" w14:textId="20A1BBD7" w:rsidR="002753EA" w:rsidRDefault="002753EA" w:rsidP="00E345B4">
      <w:pPr>
        <w:spacing w:after="0" w:line="240" w:lineRule="auto"/>
        <w:ind w:left="142" w:hanging="426"/>
        <w:jc w:val="center"/>
        <w:rPr>
          <w:rFonts w:eastAsia="Calibri" w:cstheme="minorHAnsi"/>
          <w:b/>
          <w:bCs/>
        </w:rPr>
      </w:pPr>
    </w:p>
    <w:p w14:paraId="77AFEB96" w14:textId="32EDDA72" w:rsidR="002753EA" w:rsidRDefault="002753EA" w:rsidP="00E345B4">
      <w:pPr>
        <w:spacing w:after="0" w:line="240" w:lineRule="auto"/>
        <w:ind w:left="142" w:hanging="426"/>
        <w:jc w:val="center"/>
        <w:rPr>
          <w:rFonts w:eastAsia="Calibri" w:cstheme="minorHAnsi"/>
          <w:b/>
          <w:bCs/>
        </w:rPr>
      </w:pPr>
    </w:p>
    <w:p w14:paraId="69E2121E" w14:textId="20DDE669" w:rsidR="002753EA" w:rsidRDefault="002753EA" w:rsidP="00E345B4">
      <w:pPr>
        <w:spacing w:after="0" w:line="240" w:lineRule="auto"/>
        <w:ind w:left="142" w:hanging="426"/>
        <w:jc w:val="center"/>
        <w:rPr>
          <w:rFonts w:eastAsia="Calibri" w:cstheme="minorHAnsi"/>
          <w:b/>
          <w:bCs/>
        </w:rPr>
      </w:pPr>
    </w:p>
    <w:p w14:paraId="7BDD17FE" w14:textId="6BEE60E9" w:rsidR="002753EA" w:rsidRDefault="002753EA" w:rsidP="00E345B4">
      <w:pPr>
        <w:spacing w:after="0" w:line="240" w:lineRule="auto"/>
        <w:ind w:left="142" w:hanging="426"/>
        <w:jc w:val="center"/>
        <w:rPr>
          <w:rFonts w:eastAsia="Calibri" w:cstheme="minorHAnsi"/>
          <w:b/>
          <w:bCs/>
        </w:rPr>
      </w:pPr>
    </w:p>
    <w:p w14:paraId="3308AB61" w14:textId="6EA36EE5" w:rsidR="002753EA" w:rsidRDefault="002753EA" w:rsidP="00E345B4">
      <w:pPr>
        <w:spacing w:after="0" w:line="240" w:lineRule="auto"/>
        <w:ind w:left="142" w:hanging="426"/>
        <w:jc w:val="center"/>
        <w:rPr>
          <w:rFonts w:eastAsia="Calibri" w:cstheme="minorHAnsi"/>
          <w:b/>
          <w:bCs/>
        </w:rPr>
      </w:pPr>
    </w:p>
    <w:p w14:paraId="0EE22C0C" w14:textId="15C08EB8" w:rsidR="002753EA" w:rsidRDefault="002753EA" w:rsidP="00E345B4">
      <w:pPr>
        <w:spacing w:after="0" w:line="240" w:lineRule="auto"/>
        <w:ind w:left="142" w:hanging="426"/>
        <w:jc w:val="center"/>
        <w:rPr>
          <w:rFonts w:eastAsia="Calibri" w:cstheme="minorHAnsi"/>
          <w:b/>
          <w:bCs/>
        </w:rPr>
      </w:pPr>
    </w:p>
    <w:p w14:paraId="172FF1D4" w14:textId="255D0259" w:rsidR="002753EA" w:rsidRDefault="002753EA" w:rsidP="00E345B4">
      <w:pPr>
        <w:spacing w:after="0" w:line="240" w:lineRule="auto"/>
        <w:ind w:left="142" w:hanging="426"/>
        <w:jc w:val="center"/>
        <w:rPr>
          <w:rFonts w:eastAsia="Calibri" w:cstheme="minorHAnsi"/>
          <w:b/>
          <w:bCs/>
        </w:rPr>
      </w:pPr>
    </w:p>
    <w:p w14:paraId="7C2FC9E0" w14:textId="50608365" w:rsidR="002753EA" w:rsidRDefault="002753EA" w:rsidP="00E345B4">
      <w:pPr>
        <w:spacing w:after="0" w:line="240" w:lineRule="auto"/>
        <w:ind w:left="142" w:hanging="426"/>
        <w:jc w:val="center"/>
        <w:rPr>
          <w:rFonts w:eastAsia="Calibri" w:cstheme="minorHAnsi"/>
          <w:b/>
          <w:bCs/>
        </w:rPr>
      </w:pPr>
    </w:p>
    <w:p w14:paraId="29BEE742" w14:textId="77777777" w:rsidR="002753EA" w:rsidRDefault="002753EA" w:rsidP="00E345B4">
      <w:pPr>
        <w:spacing w:after="0" w:line="240" w:lineRule="auto"/>
        <w:ind w:left="142" w:hanging="426"/>
        <w:jc w:val="center"/>
        <w:rPr>
          <w:rFonts w:eastAsia="Calibri" w:cstheme="minorHAnsi"/>
          <w:b/>
          <w:bCs/>
        </w:rPr>
      </w:pPr>
    </w:p>
    <w:p w14:paraId="6535AAD1" w14:textId="4048A1BA" w:rsidR="00FC2292" w:rsidRPr="005400F9" w:rsidRDefault="00FC2292" w:rsidP="00FC2292">
      <w:pPr>
        <w:spacing w:after="0" w:line="240" w:lineRule="auto"/>
        <w:jc w:val="center"/>
        <w:rPr>
          <w:rFonts w:cstheme="minorHAnsi"/>
          <w:sz w:val="16"/>
          <w:szCs w:val="16"/>
        </w:rPr>
      </w:pPr>
      <w:r w:rsidRPr="005400F9">
        <w:rPr>
          <w:rFonts w:cstheme="minorHAnsi"/>
          <w:b/>
          <w:bCs/>
          <w:sz w:val="16"/>
          <w:szCs w:val="16"/>
        </w:rPr>
        <w:t>Fuente:</w:t>
      </w:r>
      <w:r w:rsidRPr="005400F9">
        <w:rPr>
          <w:rFonts w:cstheme="minorHAnsi"/>
          <w:sz w:val="16"/>
          <w:szCs w:val="16"/>
        </w:rPr>
        <w:t xml:space="preserve"> </w:t>
      </w:r>
      <w:r w:rsidR="00B40499">
        <w:rPr>
          <w:rFonts w:cstheme="minorHAnsi"/>
          <w:sz w:val="16"/>
          <w:szCs w:val="16"/>
        </w:rPr>
        <w:t xml:space="preserve">Superintendencia </w:t>
      </w:r>
      <w:r w:rsidR="0076733D">
        <w:rPr>
          <w:rFonts w:cstheme="minorHAnsi"/>
          <w:sz w:val="16"/>
          <w:szCs w:val="16"/>
        </w:rPr>
        <w:t>Financiera de Colombia</w:t>
      </w:r>
      <w:r w:rsidR="002C1347">
        <w:rPr>
          <w:rStyle w:val="Refdenotaalpie"/>
          <w:rFonts w:cstheme="minorHAnsi"/>
          <w:sz w:val="16"/>
          <w:szCs w:val="16"/>
        </w:rPr>
        <w:footnoteReference w:id="11"/>
      </w:r>
    </w:p>
    <w:p w14:paraId="59E62604" w14:textId="77777777" w:rsidR="00F00CA5" w:rsidRDefault="00F00CA5">
      <w:pPr>
        <w:spacing w:after="160" w:line="259" w:lineRule="auto"/>
        <w:rPr>
          <w:rFonts w:eastAsia="Calibri" w:cstheme="minorHAnsi"/>
          <w:b/>
          <w:bCs/>
        </w:rPr>
      </w:pPr>
    </w:p>
    <w:p w14:paraId="5E2C6E22" w14:textId="77777777" w:rsidR="00C66055" w:rsidRDefault="00C66055">
      <w:pPr>
        <w:spacing w:after="160" w:line="259" w:lineRule="auto"/>
        <w:rPr>
          <w:rFonts w:eastAsia="Calibri" w:cstheme="minorHAnsi"/>
          <w:b/>
          <w:bCs/>
        </w:rPr>
      </w:pPr>
      <w:r>
        <w:rPr>
          <w:rFonts w:eastAsia="Calibri" w:cstheme="minorHAnsi"/>
          <w:b/>
          <w:bCs/>
        </w:rPr>
        <w:br w:type="page"/>
      </w:r>
    </w:p>
    <w:p w14:paraId="77C058EB" w14:textId="3D1EB5AC" w:rsidR="00E345B4" w:rsidRPr="00F25B58" w:rsidRDefault="00E345B4" w:rsidP="00E20FE0">
      <w:pPr>
        <w:spacing w:after="0" w:line="240" w:lineRule="auto"/>
        <w:contextualSpacing/>
        <w:jc w:val="both"/>
        <w:rPr>
          <w:rFonts w:eastAsia="Calibri" w:cstheme="minorHAnsi"/>
          <w:b/>
          <w:bCs/>
        </w:rPr>
      </w:pPr>
      <w:r w:rsidRPr="00F25B58">
        <w:rPr>
          <w:rFonts w:eastAsia="Calibri" w:cstheme="minorHAnsi"/>
          <w:b/>
          <w:bCs/>
        </w:rPr>
        <w:lastRenderedPageBreak/>
        <w:t>Estados Financieros a diciembre 31 de 20</w:t>
      </w:r>
      <w:r w:rsidR="007C144D" w:rsidRPr="00F25B58">
        <w:rPr>
          <w:rFonts w:eastAsia="Calibri" w:cstheme="minorHAnsi"/>
          <w:b/>
          <w:bCs/>
        </w:rPr>
        <w:t>2</w:t>
      </w:r>
      <w:r w:rsidR="00A17767">
        <w:rPr>
          <w:rFonts w:eastAsia="Calibri" w:cstheme="minorHAnsi"/>
          <w:b/>
          <w:bCs/>
        </w:rPr>
        <w:t>2</w:t>
      </w:r>
      <w:r w:rsidRPr="00F25B58">
        <w:rPr>
          <w:rFonts w:eastAsia="Calibri" w:cstheme="minorHAnsi"/>
          <w:b/>
          <w:bCs/>
        </w:rPr>
        <w:t xml:space="preserve"> </w:t>
      </w:r>
    </w:p>
    <w:p w14:paraId="29202815" w14:textId="77777777" w:rsidR="00E345B4" w:rsidRPr="00F25B58" w:rsidRDefault="00E345B4" w:rsidP="00E345B4">
      <w:pPr>
        <w:spacing w:after="0" w:line="240" w:lineRule="auto"/>
        <w:jc w:val="both"/>
        <w:rPr>
          <w:rFonts w:eastAsia="Times New Roman" w:cstheme="minorHAnsi"/>
          <w:i/>
          <w:lang w:eastAsia="es-ES"/>
        </w:rPr>
      </w:pPr>
    </w:p>
    <w:p w14:paraId="51AE7915" w14:textId="77777777" w:rsidR="00E345B4" w:rsidRPr="00F25B58" w:rsidRDefault="00E345B4" w:rsidP="00E345B4">
      <w:pPr>
        <w:spacing w:after="0" w:line="240" w:lineRule="auto"/>
        <w:jc w:val="both"/>
        <w:rPr>
          <w:rFonts w:eastAsia="Times New Roman" w:cstheme="minorHAnsi"/>
          <w:i/>
          <w:lang w:val="es-ES" w:eastAsia="es-ES"/>
        </w:rPr>
      </w:pPr>
      <w:r w:rsidRPr="00F25B58">
        <w:rPr>
          <w:rFonts w:eastAsia="Times New Roman" w:cstheme="minorHAnsi"/>
          <w:i/>
          <w:lang w:val="es-ES" w:eastAsia="es-ES"/>
        </w:rPr>
        <w:t xml:space="preserve">Capacidad Financiera – los siguientes indicadores miden la fortaleza financiera del interesado: </w:t>
      </w:r>
    </w:p>
    <w:p w14:paraId="2D67F119" w14:textId="77777777" w:rsidR="00E345B4" w:rsidRPr="00F25B58" w:rsidRDefault="00E345B4" w:rsidP="00E345B4">
      <w:pPr>
        <w:spacing w:after="0" w:line="240" w:lineRule="auto"/>
        <w:jc w:val="both"/>
        <w:rPr>
          <w:rFonts w:eastAsia="Times New Roman" w:cstheme="minorHAnsi"/>
          <w:i/>
          <w:lang w:val="es-ES" w:eastAsia="es-ES"/>
        </w:rPr>
      </w:pPr>
    </w:p>
    <w:p w14:paraId="07991717" w14:textId="7E7A93FE"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 xml:space="preserve">Índice de liquidez: activo corriente dividido por el pasivo corriente; </w:t>
      </w:r>
    </w:p>
    <w:p w14:paraId="17177A04" w14:textId="2CE962F4"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 xml:space="preserve">Índice de endeudamiento: pasivo total dividido por el activo total; </w:t>
      </w:r>
    </w:p>
    <w:p w14:paraId="7AB0A8D1" w14:textId="3C14992D" w:rsidR="00E345B4" w:rsidRPr="005574AF" w:rsidRDefault="00E345B4" w:rsidP="0073162A">
      <w:pPr>
        <w:pStyle w:val="Prrafodelista"/>
        <w:numPr>
          <w:ilvl w:val="0"/>
          <w:numId w:val="13"/>
        </w:numPr>
        <w:spacing w:after="0" w:line="240" w:lineRule="auto"/>
        <w:jc w:val="both"/>
        <w:rPr>
          <w:rFonts w:eastAsia="Times New Roman" w:cstheme="minorHAnsi"/>
          <w:i/>
          <w:lang w:val="es-ES" w:eastAsia="es-ES"/>
        </w:rPr>
      </w:pPr>
      <w:r w:rsidRPr="005574AF">
        <w:rPr>
          <w:rFonts w:eastAsia="Times New Roman" w:cstheme="minorHAnsi"/>
          <w:i/>
          <w:lang w:val="es-ES" w:eastAsia="es-ES"/>
        </w:rPr>
        <w:t>Razón de cobertura del interés.</w:t>
      </w:r>
    </w:p>
    <w:p w14:paraId="6649510F" w14:textId="77777777" w:rsidR="00E345B4" w:rsidRPr="00F25B58" w:rsidRDefault="00E345B4" w:rsidP="00E345B4">
      <w:pPr>
        <w:spacing w:after="0" w:line="240" w:lineRule="auto"/>
        <w:jc w:val="both"/>
        <w:rPr>
          <w:rFonts w:eastAsia="Calibri" w:cstheme="minorHAnsi"/>
          <w:bCs/>
        </w:rPr>
      </w:pPr>
    </w:p>
    <w:p w14:paraId="25B7A576" w14:textId="08C7BF36" w:rsidR="00E345B4" w:rsidRPr="00F25B58" w:rsidRDefault="00E345B4" w:rsidP="0070530E">
      <w:pPr>
        <w:spacing w:after="0" w:line="240" w:lineRule="auto"/>
        <w:jc w:val="both"/>
        <w:rPr>
          <w:rFonts w:eastAsia="Calibri" w:cstheme="minorHAnsi"/>
          <w:bCs/>
        </w:rPr>
      </w:pPr>
      <w:r w:rsidRPr="00F25B58">
        <w:rPr>
          <w:rFonts w:eastAsia="Calibri" w:cstheme="minorHAnsi"/>
          <w:bCs/>
        </w:rPr>
        <w:t xml:space="preserve">En cuadro seguido se refleja el comportamiento de los anteriores indicadores en las compañías aseguradoras en Colombia, donde algunas de ellas presentan indicadores negativos por el alto volumen de sus reservas técnicas y en sus inversiones, sin que esto represente una situación financiera de alto riesgo para la </w:t>
      </w:r>
      <w:r w:rsidR="00457E41" w:rsidRPr="005574AF">
        <w:rPr>
          <w:rFonts w:eastAsia="ACaslonPro-Regular" w:cstheme="minorHAnsi"/>
          <w:b/>
          <w:bCs/>
        </w:rPr>
        <w:t>Universidad Distrital Francisco José de Caldas</w:t>
      </w:r>
      <w:r w:rsidRPr="00F25B58">
        <w:rPr>
          <w:rFonts w:eastAsia="Calibri" w:cstheme="minorHAnsi"/>
          <w:bCs/>
        </w:rPr>
        <w:t xml:space="preserve">, por cuanto las compañías aseguradoras se encuentran vigiladas y supervisadas por la Superintendencia Financiera de Colombia y las relacionadas se encuentran habilitadas para ejercer su operación, es decir, no se encuentran intervenidas por este ente controlador, análisis que consideró la </w:t>
      </w:r>
      <w:r w:rsidR="00457E41" w:rsidRPr="005574AF">
        <w:rPr>
          <w:rFonts w:eastAsia="ACaslonPro-Regular" w:cstheme="minorHAnsi"/>
          <w:b/>
          <w:bCs/>
        </w:rPr>
        <w:t>Universidad Distrital Francisco José de Caldas</w:t>
      </w:r>
      <w:r w:rsidRPr="00F25B58">
        <w:rPr>
          <w:rFonts w:eastAsia="Calibri" w:cstheme="minorHAnsi"/>
          <w:bCs/>
        </w:rPr>
        <w:t xml:space="preserve"> para establecer los indicadores financieros en el proceso de selección del año 202</w:t>
      </w:r>
      <w:r w:rsidR="005574AF">
        <w:rPr>
          <w:rFonts w:eastAsia="Calibri" w:cstheme="minorHAnsi"/>
          <w:bCs/>
        </w:rPr>
        <w:t>3</w:t>
      </w:r>
      <w:r w:rsidRPr="00F25B58">
        <w:rPr>
          <w:rFonts w:eastAsia="Calibri" w:cstheme="minorHAnsi"/>
          <w:bCs/>
        </w:rPr>
        <w:t>:</w:t>
      </w:r>
    </w:p>
    <w:p w14:paraId="115360C2" w14:textId="77777777" w:rsidR="00E345B4" w:rsidRPr="00F25B58" w:rsidRDefault="00E345B4" w:rsidP="0070530E">
      <w:pPr>
        <w:spacing w:after="0" w:line="240" w:lineRule="auto"/>
        <w:jc w:val="both"/>
        <w:rPr>
          <w:rFonts w:eastAsia="Calibri" w:cstheme="minorHAnsi"/>
          <w:bCs/>
        </w:rPr>
      </w:pPr>
    </w:p>
    <w:p w14:paraId="6B314AE7" w14:textId="39080B67" w:rsidR="0073162A" w:rsidRPr="0070530E" w:rsidRDefault="0073162A" w:rsidP="0070530E">
      <w:pPr>
        <w:spacing w:after="0" w:line="240" w:lineRule="auto"/>
        <w:rPr>
          <w:b/>
          <w:bCs/>
        </w:rPr>
      </w:pPr>
      <w:r w:rsidRPr="0070530E">
        <w:rPr>
          <w:b/>
          <w:bCs/>
        </w:rPr>
        <w:t>Análisis de indicadores con de los últimos tres años</w:t>
      </w:r>
    </w:p>
    <w:p w14:paraId="5D135F73" w14:textId="77777777" w:rsidR="0073162A" w:rsidRPr="00EC023B" w:rsidRDefault="0073162A" w:rsidP="0070530E">
      <w:pPr>
        <w:spacing w:after="0" w:line="240" w:lineRule="auto"/>
        <w:jc w:val="both"/>
        <w:rPr>
          <w:rFonts w:ascii="Arial" w:eastAsia="Calibri" w:hAnsi="Arial" w:cs="Arial"/>
          <w:b/>
          <w:bCs/>
          <w:sz w:val="20"/>
          <w:szCs w:val="20"/>
        </w:rPr>
      </w:pPr>
    </w:p>
    <w:p w14:paraId="4B41AF65" w14:textId="77777777" w:rsidR="0073162A" w:rsidRPr="00EC023B" w:rsidRDefault="0073162A" w:rsidP="0070530E">
      <w:pPr>
        <w:spacing w:after="0" w:line="240" w:lineRule="auto"/>
        <w:jc w:val="both"/>
        <w:rPr>
          <w:rFonts w:ascii="Arial" w:eastAsia="Calibri" w:hAnsi="Arial" w:cs="Arial"/>
          <w:sz w:val="20"/>
          <w:szCs w:val="20"/>
        </w:rPr>
      </w:pPr>
      <w:r w:rsidRPr="00EC023B">
        <w:rPr>
          <w:rFonts w:ascii="Arial" w:eastAsia="Calibri" w:hAnsi="Arial" w:cs="Arial"/>
          <w:sz w:val="20"/>
          <w:szCs w:val="20"/>
        </w:rPr>
        <w:t>De conformidad con lo anterior, considerando el comportamiento financiero y organizacional del mercado asegurador, específicamente las principales compañías de seguros que participan en los procesos de selección adelantados por Entidades del régimen de contratación público se hacen necesario considerar los siguientes indicadores:</w:t>
      </w:r>
    </w:p>
    <w:p w14:paraId="76ACFF65" w14:textId="78FBDB62" w:rsidR="00E345B4" w:rsidRDefault="0073162A" w:rsidP="0073162A">
      <w:pPr>
        <w:spacing w:after="0" w:line="240" w:lineRule="auto"/>
        <w:jc w:val="both"/>
        <w:rPr>
          <w:rFonts w:ascii="Arial" w:eastAsia="Calibri" w:hAnsi="Arial" w:cs="Arial"/>
          <w:sz w:val="20"/>
          <w:szCs w:val="20"/>
        </w:rPr>
      </w:pPr>
      <w:r w:rsidRPr="00EC023B">
        <w:rPr>
          <w:rFonts w:ascii="Arial" w:eastAsia="Calibri" w:hAnsi="Arial" w:cs="Arial"/>
          <w:sz w:val="20"/>
          <w:szCs w:val="20"/>
        </w:rPr>
        <w:t>Indicadores de capacidad financiera tomados del Registro Único de Proponentes del mercado asegurador, los cuales buscan establecer unas condiciones mínimas que reflejen la salud financiera de los proponentes a través de su liquidez y endeudamiento, mostrando la aptitud del proponente para cumplir oportuna y cabalmente el objeto del contrato</w:t>
      </w:r>
    </w:p>
    <w:p w14:paraId="711C4459" w14:textId="77777777" w:rsidR="0073162A" w:rsidRPr="00F25B58" w:rsidRDefault="0073162A" w:rsidP="0073162A">
      <w:pPr>
        <w:spacing w:after="0" w:line="240" w:lineRule="auto"/>
        <w:jc w:val="both"/>
        <w:rPr>
          <w:rFonts w:eastAsia="Calibri" w:cstheme="minorHAnsi"/>
          <w:b/>
          <w:bCs/>
        </w:rPr>
      </w:pPr>
    </w:p>
    <w:p w14:paraId="6865D2C5" w14:textId="77777777" w:rsidR="00C842FA" w:rsidRDefault="00C842FA" w:rsidP="0073162A">
      <w:pPr>
        <w:numPr>
          <w:ilvl w:val="0"/>
          <w:numId w:val="18"/>
        </w:numPr>
        <w:autoSpaceDN w:val="0"/>
        <w:ind w:left="284" w:hanging="284"/>
        <w:jc w:val="both"/>
        <w:rPr>
          <w:rFonts w:ascii="Arial" w:hAnsi="Arial" w:cs="Arial"/>
          <w:b/>
          <w:snapToGrid w:val="0"/>
          <w:sz w:val="20"/>
          <w:szCs w:val="20"/>
        </w:rPr>
      </w:pPr>
      <w:r w:rsidRPr="00EC023B">
        <w:rPr>
          <w:rFonts w:ascii="Arial" w:hAnsi="Arial" w:cs="Arial"/>
          <w:b/>
          <w:snapToGrid w:val="0"/>
          <w:sz w:val="20"/>
          <w:szCs w:val="20"/>
        </w:rPr>
        <w:t>Análisis del indicador de liquidez</w:t>
      </w:r>
    </w:p>
    <w:p w14:paraId="2553CF9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De la misma forma, realizó el análisis de los indicadores de liquidez que registran las aseguradoras que participan en los procesos de contratación estatal, muestra en la que resultan los siguientes indicadores para seguros generales:</w:t>
      </w:r>
    </w:p>
    <w:p w14:paraId="1B50CA80"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tblCellMar>
          <w:left w:w="70" w:type="dxa"/>
          <w:right w:w="70" w:type="dxa"/>
        </w:tblCellMar>
        <w:tblLook w:val="04A0" w:firstRow="1" w:lastRow="0" w:firstColumn="1" w:lastColumn="0" w:noHBand="0" w:noVBand="1"/>
      </w:tblPr>
      <w:tblGrid>
        <w:gridCol w:w="2711"/>
        <w:gridCol w:w="1891"/>
        <w:gridCol w:w="2144"/>
        <w:gridCol w:w="1748"/>
      </w:tblGrid>
      <w:tr w:rsidR="00C842FA" w:rsidRPr="00701049" w14:paraId="183782CB" w14:textId="77777777" w:rsidTr="00AE465E">
        <w:trPr>
          <w:trHeight w:val="250"/>
        </w:trPr>
        <w:tc>
          <w:tcPr>
            <w:tcW w:w="1596"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05754BC6"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ASEGURADORA</w:t>
            </w:r>
          </w:p>
        </w:tc>
        <w:tc>
          <w:tcPr>
            <w:tcW w:w="3404" w:type="pct"/>
            <w:gridSpan w:val="3"/>
            <w:tcBorders>
              <w:top w:val="single" w:sz="4" w:space="0" w:color="2F75B5"/>
              <w:left w:val="nil"/>
              <w:bottom w:val="single" w:sz="4" w:space="0" w:color="2F75B5"/>
              <w:right w:val="single" w:sz="4" w:space="0" w:color="2F75B5"/>
            </w:tcBorders>
            <w:shd w:val="clear" w:color="auto" w:fill="FF0000"/>
            <w:vAlign w:val="center"/>
            <w:hideMark/>
          </w:tcPr>
          <w:p w14:paraId="7FE8920A"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LIQUIDEZ</w:t>
            </w:r>
          </w:p>
        </w:tc>
      </w:tr>
      <w:tr w:rsidR="00C842FA" w:rsidRPr="00701049" w14:paraId="0887FE4A" w14:textId="77777777" w:rsidTr="00AE465E">
        <w:trPr>
          <w:trHeight w:val="260"/>
        </w:trPr>
        <w:tc>
          <w:tcPr>
            <w:tcW w:w="1596"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24A174A6" w14:textId="77777777" w:rsidR="00C842FA" w:rsidRPr="00701049" w:rsidRDefault="00C842FA" w:rsidP="0070530E">
            <w:pPr>
              <w:spacing w:after="0" w:line="240" w:lineRule="auto"/>
              <w:rPr>
                <w:rFonts w:cstheme="minorHAnsi"/>
                <w:b/>
                <w:bCs/>
                <w:color w:val="FFFFFF"/>
                <w:sz w:val="16"/>
                <w:szCs w:val="16"/>
                <w:lang w:eastAsia="es-CO"/>
              </w:rPr>
            </w:pPr>
          </w:p>
        </w:tc>
        <w:tc>
          <w:tcPr>
            <w:tcW w:w="1113" w:type="pct"/>
            <w:tcBorders>
              <w:top w:val="nil"/>
              <w:left w:val="nil"/>
              <w:bottom w:val="single" w:sz="4" w:space="0" w:color="2F75B5"/>
              <w:right w:val="single" w:sz="4" w:space="0" w:color="2F75B5"/>
            </w:tcBorders>
            <w:shd w:val="clear" w:color="auto" w:fill="FF0000"/>
            <w:vAlign w:val="center"/>
            <w:hideMark/>
          </w:tcPr>
          <w:p w14:paraId="6104C20B"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2021</w:t>
            </w:r>
          </w:p>
        </w:tc>
        <w:tc>
          <w:tcPr>
            <w:tcW w:w="1262" w:type="pct"/>
            <w:tcBorders>
              <w:top w:val="nil"/>
              <w:left w:val="nil"/>
              <w:bottom w:val="single" w:sz="4" w:space="0" w:color="2F75B5"/>
              <w:right w:val="single" w:sz="4" w:space="0" w:color="2F75B5"/>
            </w:tcBorders>
            <w:shd w:val="clear" w:color="auto" w:fill="FF0000"/>
            <w:vAlign w:val="center"/>
            <w:hideMark/>
          </w:tcPr>
          <w:p w14:paraId="0E95139D"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2020</w:t>
            </w:r>
          </w:p>
        </w:tc>
        <w:tc>
          <w:tcPr>
            <w:tcW w:w="1029" w:type="pct"/>
            <w:tcBorders>
              <w:top w:val="nil"/>
              <w:left w:val="nil"/>
              <w:bottom w:val="single" w:sz="4" w:space="0" w:color="2F75B5"/>
              <w:right w:val="single" w:sz="4" w:space="0" w:color="2F75B5"/>
            </w:tcBorders>
            <w:shd w:val="clear" w:color="auto" w:fill="FF0000"/>
            <w:vAlign w:val="center"/>
            <w:hideMark/>
          </w:tcPr>
          <w:p w14:paraId="081E2BEE" w14:textId="77777777" w:rsidR="00C842FA" w:rsidRPr="00701049" w:rsidRDefault="00C842FA" w:rsidP="0070530E">
            <w:pPr>
              <w:spacing w:after="0" w:line="240" w:lineRule="auto"/>
              <w:jc w:val="center"/>
              <w:rPr>
                <w:rFonts w:cstheme="minorHAnsi"/>
                <w:b/>
                <w:bCs/>
                <w:color w:val="FFFFFF"/>
                <w:sz w:val="16"/>
                <w:szCs w:val="16"/>
                <w:lang w:eastAsia="es-CO"/>
              </w:rPr>
            </w:pPr>
            <w:r w:rsidRPr="00701049">
              <w:rPr>
                <w:rFonts w:cstheme="minorHAnsi"/>
                <w:b/>
                <w:bCs/>
                <w:color w:val="FFFFFF"/>
                <w:sz w:val="16"/>
                <w:szCs w:val="16"/>
                <w:lang w:eastAsia="es-CO"/>
              </w:rPr>
              <w:t>2019</w:t>
            </w:r>
          </w:p>
        </w:tc>
      </w:tr>
      <w:tr w:rsidR="00C842FA" w:rsidRPr="00701049" w14:paraId="13521383" w14:textId="77777777" w:rsidTr="00AE465E">
        <w:trPr>
          <w:trHeight w:val="260"/>
        </w:trPr>
        <w:tc>
          <w:tcPr>
            <w:tcW w:w="1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31288"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ALLIANZ</w:t>
            </w:r>
          </w:p>
        </w:tc>
        <w:tc>
          <w:tcPr>
            <w:tcW w:w="1113" w:type="pct"/>
            <w:tcBorders>
              <w:top w:val="single" w:sz="4" w:space="0" w:color="auto"/>
              <w:left w:val="nil"/>
              <w:bottom w:val="single" w:sz="4" w:space="0" w:color="auto"/>
              <w:right w:val="single" w:sz="4" w:space="0" w:color="auto"/>
            </w:tcBorders>
            <w:shd w:val="clear" w:color="auto" w:fill="auto"/>
            <w:noWrap/>
            <w:vAlign w:val="bottom"/>
            <w:hideMark/>
          </w:tcPr>
          <w:p w14:paraId="165AC75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6,22</w:t>
            </w:r>
          </w:p>
        </w:tc>
        <w:tc>
          <w:tcPr>
            <w:tcW w:w="1262" w:type="pct"/>
            <w:tcBorders>
              <w:top w:val="single" w:sz="4" w:space="0" w:color="auto"/>
              <w:left w:val="nil"/>
              <w:bottom w:val="single" w:sz="4" w:space="0" w:color="auto"/>
              <w:right w:val="single" w:sz="4" w:space="0" w:color="auto"/>
            </w:tcBorders>
            <w:shd w:val="clear" w:color="auto" w:fill="auto"/>
            <w:noWrap/>
            <w:vAlign w:val="bottom"/>
            <w:hideMark/>
          </w:tcPr>
          <w:p w14:paraId="339E4FF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5,95</w:t>
            </w:r>
          </w:p>
        </w:tc>
        <w:tc>
          <w:tcPr>
            <w:tcW w:w="1029" w:type="pct"/>
            <w:tcBorders>
              <w:top w:val="single" w:sz="4" w:space="0" w:color="auto"/>
              <w:left w:val="nil"/>
              <w:bottom w:val="single" w:sz="4" w:space="0" w:color="auto"/>
              <w:right w:val="single" w:sz="4" w:space="0" w:color="auto"/>
            </w:tcBorders>
            <w:shd w:val="clear" w:color="auto" w:fill="auto"/>
            <w:noWrap/>
            <w:vAlign w:val="bottom"/>
            <w:hideMark/>
          </w:tcPr>
          <w:p w14:paraId="5B6D834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6,48</w:t>
            </w:r>
          </w:p>
        </w:tc>
      </w:tr>
      <w:tr w:rsidR="00C842FA" w:rsidRPr="00701049" w14:paraId="719E1B62"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4EC33E76"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AXA COLPATRIA</w:t>
            </w:r>
          </w:p>
        </w:tc>
        <w:tc>
          <w:tcPr>
            <w:tcW w:w="1113" w:type="pct"/>
            <w:tcBorders>
              <w:top w:val="nil"/>
              <w:left w:val="nil"/>
              <w:bottom w:val="single" w:sz="4" w:space="0" w:color="auto"/>
              <w:right w:val="single" w:sz="4" w:space="0" w:color="auto"/>
            </w:tcBorders>
            <w:shd w:val="clear" w:color="auto" w:fill="auto"/>
            <w:noWrap/>
            <w:vAlign w:val="bottom"/>
            <w:hideMark/>
          </w:tcPr>
          <w:p w14:paraId="334025B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1,52</w:t>
            </w:r>
          </w:p>
        </w:tc>
        <w:tc>
          <w:tcPr>
            <w:tcW w:w="1262" w:type="pct"/>
            <w:tcBorders>
              <w:top w:val="nil"/>
              <w:left w:val="nil"/>
              <w:bottom w:val="single" w:sz="4" w:space="0" w:color="auto"/>
              <w:right w:val="single" w:sz="4" w:space="0" w:color="auto"/>
            </w:tcBorders>
            <w:shd w:val="clear" w:color="auto" w:fill="auto"/>
            <w:noWrap/>
            <w:vAlign w:val="bottom"/>
            <w:hideMark/>
          </w:tcPr>
          <w:p w14:paraId="3EF37FB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1,61</w:t>
            </w:r>
          </w:p>
        </w:tc>
        <w:tc>
          <w:tcPr>
            <w:tcW w:w="1029" w:type="pct"/>
            <w:tcBorders>
              <w:top w:val="nil"/>
              <w:left w:val="nil"/>
              <w:bottom w:val="single" w:sz="4" w:space="0" w:color="auto"/>
              <w:right w:val="single" w:sz="4" w:space="0" w:color="auto"/>
            </w:tcBorders>
            <w:shd w:val="clear" w:color="auto" w:fill="auto"/>
            <w:noWrap/>
            <w:vAlign w:val="bottom"/>
            <w:hideMark/>
          </w:tcPr>
          <w:p w14:paraId="1E77B66C"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1,53</w:t>
            </w:r>
          </w:p>
        </w:tc>
      </w:tr>
      <w:tr w:rsidR="00C842FA" w:rsidRPr="00701049" w14:paraId="7BA9F09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98D69BF"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CHUBB DE COLOMBIA</w:t>
            </w:r>
          </w:p>
        </w:tc>
        <w:tc>
          <w:tcPr>
            <w:tcW w:w="1113" w:type="pct"/>
            <w:tcBorders>
              <w:top w:val="nil"/>
              <w:left w:val="nil"/>
              <w:bottom w:val="single" w:sz="4" w:space="0" w:color="auto"/>
              <w:right w:val="single" w:sz="4" w:space="0" w:color="auto"/>
            </w:tcBorders>
            <w:shd w:val="clear" w:color="auto" w:fill="auto"/>
            <w:noWrap/>
            <w:vAlign w:val="bottom"/>
            <w:hideMark/>
          </w:tcPr>
          <w:p w14:paraId="211EBB0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1,59</w:t>
            </w:r>
          </w:p>
        </w:tc>
        <w:tc>
          <w:tcPr>
            <w:tcW w:w="1262" w:type="pct"/>
            <w:tcBorders>
              <w:top w:val="nil"/>
              <w:left w:val="nil"/>
              <w:bottom w:val="single" w:sz="4" w:space="0" w:color="auto"/>
              <w:right w:val="single" w:sz="4" w:space="0" w:color="auto"/>
            </w:tcBorders>
            <w:shd w:val="clear" w:color="auto" w:fill="auto"/>
            <w:noWrap/>
            <w:vAlign w:val="bottom"/>
            <w:hideMark/>
          </w:tcPr>
          <w:p w14:paraId="32F8B715"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4,59</w:t>
            </w:r>
          </w:p>
        </w:tc>
        <w:tc>
          <w:tcPr>
            <w:tcW w:w="1029" w:type="pct"/>
            <w:tcBorders>
              <w:top w:val="nil"/>
              <w:left w:val="nil"/>
              <w:bottom w:val="single" w:sz="4" w:space="0" w:color="auto"/>
              <w:right w:val="single" w:sz="4" w:space="0" w:color="auto"/>
            </w:tcBorders>
            <w:shd w:val="clear" w:color="auto" w:fill="auto"/>
            <w:noWrap/>
            <w:vAlign w:val="bottom"/>
            <w:hideMark/>
          </w:tcPr>
          <w:p w14:paraId="0A94706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4,48</w:t>
            </w:r>
          </w:p>
        </w:tc>
      </w:tr>
      <w:tr w:rsidR="00C842FA" w:rsidRPr="00701049" w14:paraId="2E9C397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417FDFBE"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HDI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61B764D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c>
          <w:tcPr>
            <w:tcW w:w="1262" w:type="pct"/>
            <w:tcBorders>
              <w:top w:val="nil"/>
              <w:left w:val="nil"/>
              <w:bottom w:val="single" w:sz="4" w:space="0" w:color="auto"/>
              <w:right w:val="single" w:sz="4" w:space="0" w:color="auto"/>
            </w:tcBorders>
            <w:shd w:val="clear" w:color="auto" w:fill="auto"/>
            <w:noWrap/>
            <w:vAlign w:val="bottom"/>
            <w:hideMark/>
          </w:tcPr>
          <w:p w14:paraId="53A4B71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4,59</w:t>
            </w:r>
          </w:p>
        </w:tc>
        <w:tc>
          <w:tcPr>
            <w:tcW w:w="1029" w:type="pct"/>
            <w:tcBorders>
              <w:top w:val="nil"/>
              <w:left w:val="nil"/>
              <w:bottom w:val="single" w:sz="4" w:space="0" w:color="auto"/>
              <w:right w:val="single" w:sz="4" w:space="0" w:color="auto"/>
            </w:tcBorders>
            <w:shd w:val="clear" w:color="auto" w:fill="auto"/>
            <w:noWrap/>
            <w:vAlign w:val="bottom"/>
            <w:hideMark/>
          </w:tcPr>
          <w:p w14:paraId="7110DA8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3,20</w:t>
            </w:r>
          </w:p>
        </w:tc>
      </w:tr>
      <w:tr w:rsidR="00C842FA" w:rsidRPr="00701049" w14:paraId="3832D25B"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3A5594E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LIBERTY SEGUROS</w:t>
            </w:r>
          </w:p>
        </w:tc>
        <w:tc>
          <w:tcPr>
            <w:tcW w:w="1113" w:type="pct"/>
            <w:tcBorders>
              <w:top w:val="nil"/>
              <w:left w:val="nil"/>
              <w:bottom w:val="single" w:sz="4" w:space="0" w:color="auto"/>
              <w:right w:val="single" w:sz="4" w:space="0" w:color="auto"/>
            </w:tcBorders>
            <w:shd w:val="clear" w:color="auto" w:fill="auto"/>
            <w:noWrap/>
            <w:vAlign w:val="bottom"/>
            <w:hideMark/>
          </w:tcPr>
          <w:p w14:paraId="003F03E5"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11,36</w:t>
            </w:r>
          </w:p>
        </w:tc>
        <w:tc>
          <w:tcPr>
            <w:tcW w:w="1262" w:type="pct"/>
            <w:tcBorders>
              <w:top w:val="nil"/>
              <w:left w:val="nil"/>
              <w:bottom w:val="single" w:sz="4" w:space="0" w:color="auto"/>
              <w:right w:val="single" w:sz="4" w:space="0" w:color="auto"/>
            </w:tcBorders>
            <w:shd w:val="clear" w:color="auto" w:fill="auto"/>
            <w:noWrap/>
            <w:vAlign w:val="bottom"/>
            <w:hideMark/>
          </w:tcPr>
          <w:p w14:paraId="0C8519B9"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10,18</w:t>
            </w:r>
          </w:p>
        </w:tc>
        <w:tc>
          <w:tcPr>
            <w:tcW w:w="1029" w:type="pct"/>
            <w:tcBorders>
              <w:top w:val="nil"/>
              <w:left w:val="nil"/>
              <w:bottom w:val="single" w:sz="4" w:space="0" w:color="auto"/>
              <w:right w:val="single" w:sz="4" w:space="0" w:color="auto"/>
            </w:tcBorders>
            <w:shd w:val="clear" w:color="auto" w:fill="auto"/>
            <w:noWrap/>
            <w:vAlign w:val="bottom"/>
            <w:hideMark/>
          </w:tcPr>
          <w:p w14:paraId="69388428"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8,79</w:t>
            </w:r>
          </w:p>
        </w:tc>
      </w:tr>
      <w:tr w:rsidR="00C842FA" w:rsidRPr="00701049" w14:paraId="0E76BC5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10BCC3D4"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MAPFRE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34B15C88"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5,53</w:t>
            </w:r>
          </w:p>
        </w:tc>
        <w:tc>
          <w:tcPr>
            <w:tcW w:w="1262" w:type="pct"/>
            <w:tcBorders>
              <w:top w:val="nil"/>
              <w:left w:val="nil"/>
              <w:bottom w:val="single" w:sz="4" w:space="0" w:color="auto"/>
              <w:right w:val="single" w:sz="4" w:space="0" w:color="auto"/>
            </w:tcBorders>
            <w:shd w:val="clear" w:color="auto" w:fill="auto"/>
            <w:noWrap/>
            <w:vAlign w:val="bottom"/>
            <w:hideMark/>
          </w:tcPr>
          <w:p w14:paraId="13378FF2"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4,68</w:t>
            </w:r>
          </w:p>
        </w:tc>
        <w:tc>
          <w:tcPr>
            <w:tcW w:w="1029" w:type="pct"/>
            <w:tcBorders>
              <w:top w:val="nil"/>
              <w:left w:val="nil"/>
              <w:bottom w:val="single" w:sz="4" w:space="0" w:color="auto"/>
              <w:right w:val="single" w:sz="4" w:space="0" w:color="auto"/>
            </w:tcBorders>
            <w:shd w:val="clear" w:color="auto" w:fill="auto"/>
            <w:noWrap/>
            <w:vAlign w:val="bottom"/>
            <w:hideMark/>
          </w:tcPr>
          <w:p w14:paraId="5599F5C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22,38</w:t>
            </w:r>
          </w:p>
        </w:tc>
      </w:tr>
      <w:tr w:rsidR="00C842FA" w:rsidRPr="00701049" w14:paraId="2092437E"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7C2448C4"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MUNDIAL DE SEGUROS</w:t>
            </w:r>
          </w:p>
        </w:tc>
        <w:tc>
          <w:tcPr>
            <w:tcW w:w="1113" w:type="pct"/>
            <w:tcBorders>
              <w:top w:val="nil"/>
              <w:left w:val="nil"/>
              <w:bottom w:val="single" w:sz="4" w:space="0" w:color="auto"/>
              <w:right w:val="single" w:sz="4" w:space="0" w:color="auto"/>
            </w:tcBorders>
            <w:shd w:val="clear" w:color="auto" w:fill="auto"/>
            <w:noWrap/>
            <w:vAlign w:val="bottom"/>
            <w:hideMark/>
          </w:tcPr>
          <w:p w14:paraId="17088E6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3,07</w:t>
            </w:r>
          </w:p>
        </w:tc>
        <w:tc>
          <w:tcPr>
            <w:tcW w:w="1262" w:type="pct"/>
            <w:tcBorders>
              <w:top w:val="nil"/>
              <w:left w:val="nil"/>
              <w:bottom w:val="single" w:sz="4" w:space="0" w:color="auto"/>
              <w:right w:val="single" w:sz="4" w:space="0" w:color="auto"/>
            </w:tcBorders>
            <w:shd w:val="clear" w:color="auto" w:fill="auto"/>
            <w:noWrap/>
            <w:vAlign w:val="bottom"/>
            <w:hideMark/>
          </w:tcPr>
          <w:p w14:paraId="3E4AC66D"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3,09</w:t>
            </w:r>
          </w:p>
        </w:tc>
        <w:tc>
          <w:tcPr>
            <w:tcW w:w="1029" w:type="pct"/>
            <w:tcBorders>
              <w:top w:val="nil"/>
              <w:left w:val="nil"/>
              <w:bottom w:val="single" w:sz="4" w:space="0" w:color="auto"/>
              <w:right w:val="single" w:sz="4" w:space="0" w:color="auto"/>
            </w:tcBorders>
            <w:shd w:val="clear" w:color="auto" w:fill="auto"/>
            <w:noWrap/>
            <w:vAlign w:val="bottom"/>
            <w:hideMark/>
          </w:tcPr>
          <w:p w14:paraId="55AB1D5C"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2,13</w:t>
            </w:r>
          </w:p>
        </w:tc>
      </w:tr>
      <w:tr w:rsidR="00C842FA" w:rsidRPr="00701049" w14:paraId="218F280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2633EFE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PREVISORA</w:t>
            </w:r>
          </w:p>
        </w:tc>
        <w:tc>
          <w:tcPr>
            <w:tcW w:w="1113" w:type="pct"/>
            <w:tcBorders>
              <w:top w:val="nil"/>
              <w:left w:val="nil"/>
              <w:bottom w:val="single" w:sz="4" w:space="0" w:color="auto"/>
              <w:right w:val="single" w:sz="4" w:space="0" w:color="auto"/>
            </w:tcBorders>
            <w:shd w:val="clear" w:color="auto" w:fill="auto"/>
            <w:noWrap/>
            <w:vAlign w:val="bottom"/>
            <w:hideMark/>
          </w:tcPr>
          <w:p w14:paraId="3187FE9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2,28</w:t>
            </w:r>
          </w:p>
        </w:tc>
        <w:tc>
          <w:tcPr>
            <w:tcW w:w="1262" w:type="pct"/>
            <w:tcBorders>
              <w:top w:val="nil"/>
              <w:left w:val="nil"/>
              <w:bottom w:val="single" w:sz="4" w:space="0" w:color="auto"/>
              <w:right w:val="single" w:sz="4" w:space="0" w:color="auto"/>
            </w:tcBorders>
            <w:shd w:val="clear" w:color="auto" w:fill="auto"/>
            <w:noWrap/>
            <w:vAlign w:val="bottom"/>
            <w:hideMark/>
          </w:tcPr>
          <w:p w14:paraId="493E8FC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2,84</w:t>
            </w:r>
          </w:p>
        </w:tc>
        <w:tc>
          <w:tcPr>
            <w:tcW w:w="1029" w:type="pct"/>
            <w:tcBorders>
              <w:top w:val="nil"/>
              <w:left w:val="nil"/>
              <w:bottom w:val="single" w:sz="4" w:space="0" w:color="auto"/>
              <w:right w:val="single" w:sz="4" w:space="0" w:color="auto"/>
            </w:tcBorders>
            <w:shd w:val="clear" w:color="auto" w:fill="auto"/>
            <w:noWrap/>
            <w:vAlign w:val="bottom"/>
            <w:hideMark/>
          </w:tcPr>
          <w:p w14:paraId="001E32CA"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2,90</w:t>
            </w:r>
          </w:p>
        </w:tc>
      </w:tr>
      <w:tr w:rsidR="00C842FA" w:rsidRPr="00701049" w14:paraId="16CCFA28"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0BFF7AAD"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SBS SEGUROS COLOMBIA</w:t>
            </w:r>
          </w:p>
        </w:tc>
        <w:tc>
          <w:tcPr>
            <w:tcW w:w="1113" w:type="pct"/>
            <w:tcBorders>
              <w:top w:val="nil"/>
              <w:left w:val="nil"/>
              <w:bottom w:val="single" w:sz="4" w:space="0" w:color="auto"/>
              <w:right w:val="single" w:sz="4" w:space="0" w:color="auto"/>
            </w:tcBorders>
            <w:shd w:val="clear" w:color="auto" w:fill="auto"/>
            <w:noWrap/>
            <w:vAlign w:val="bottom"/>
            <w:hideMark/>
          </w:tcPr>
          <w:p w14:paraId="6311F073"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3,74</w:t>
            </w:r>
          </w:p>
        </w:tc>
        <w:tc>
          <w:tcPr>
            <w:tcW w:w="1262" w:type="pct"/>
            <w:tcBorders>
              <w:top w:val="nil"/>
              <w:left w:val="nil"/>
              <w:bottom w:val="single" w:sz="4" w:space="0" w:color="auto"/>
              <w:right w:val="single" w:sz="4" w:space="0" w:color="auto"/>
            </w:tcBorders>
            <w:shd w:val="clear" w:color="auto" w:fill="auto"/>
            <w:noWrap/>
            <w:vAlign w:val="bottom"/>
            <w:hideMark/>
          </w:tcPr>
          <w:p w14:paraId="42424F0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4,64</w:t>
            </w:r>
          </w:p>
        </w:tc>
        <w:tc>
          <w:tcPr>
            <w:tcW w:w="1029" w:type="pct"/>
            <w:tcBorders>
              <w:top w:val="nil"/>
              <w:left w:val="nil"/>
              <w:bottom w:val="single" w:sz="4" w:space="0" w:color="auto"/>
              <w:right w:val="single" w:sz="4" w:space="0" w:color="auto"/>
            </w:tcBorders>
            <w:shd w:val="clear" w:color="auto" w:fill="auto"/>
            <w:noWrap/>
            <w:vAlign w:val="bottom"/>
            <w:hideMark/>
          </w:tcPr>
          <w:p w14:paraId="04DFBFC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r>
      <w:tr w:rsidR="00C842FA" w:rsidRPr="00701049" w14:paraId="4B92C1C1"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0A5813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SEGUROS DEL ESTADO</w:t>
            </w:r>
          </w:p>
        </w:tc>
        <w:tc>
          <w:tcPr>
            <w:tcW w:w="1113" w:type="pct"/>
            <w:tcBorders>
              <w:top w:val="nil"/>
              <w:left w:val="nil"/>
              <w:bottom w:val="single" w:sz="4" w:space="0" w:color="auto"/>
              <w:right w:val="single" w:sz="4" w:space="0" w:color="auto"/>
            </w:tcBorders>
            <w:shd w:val="clear" w:color="auto" w:fill="auto"/>
            <w:noWrap/>
            <w:vAlign w:val="bottom"/>
            <w:hideMark/>
          </w:tcPr>
          <w:p w14:paraId="785BB72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3,69</w:t>
            </w:r>
          </w:p>
        </w:tc>
        <w:tc>
          <w:tcPr>
            <w:tcW w:w="1262" w:type="pct"/>
            <w:tcBorders>
              <w:top w:val="nil"/>
              <w:left w:val="nil"/>
              <w:bottom w:val="single" w:sz="4" w:space="0" w:color="auto"/>
              <w:right w:val="single" w:sz="4" w:space="0" w:color="auto"/>
            </w:tcBorders>
            <w:shd w:val="clear" w:color="auto" w:fill="auto"/>
            <w:noWrap/>
            <w:vAlign w:val="bottom"/>
            <w:hideMark/>
          </w:tcPr>
          <w:p w14:paraId="718F5E7D"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4,75</w:t>
            </w:r>
          </w:p>
        </w:tc>
        <w:tc>
          <w:tcPr>
            <w:tcW w:w="1029" w:type="pct"/>
            <w:tcBorders>
              <w:top w:val="nil"/>
              <w:left w:val="nil"/>
              <w:bottom w:val="single" w:sz="4" w:space="0" w:color="auto"/>
              <w:right w:val="single" w:sz="4" w:space="0" w:color="auto"/>
            </w:tcBorders>
            <w:shd w:val="clear" w:color="auto" w:fill="auto"/>
            <w:noWrap/>
            <w:vAlign w:val="bottom"/>
            <w:hideMark/>
          </w:tcPr>
          <w:p w14:paraId="2428C82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4,23</w:t>
            </w:r>
          </w:p>
        </w:tc>
      </w:tr>
      <w:tr w:rsidR="00C842FA" w:rsidRPr="00701049" w14:paraId="0E88AEF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81FD730"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 xml:space="preserve">SOLIDARIA </w:t>
            </w:r>
          </w:p>
        </w:tc>
        <w:tc>
          <w:tcPr>
            <w:tcW w:w="1113" w:type="pct"/>
            <w:tcBorders>
              <w:top w:val="nil"/>
              <w:left w:val="nil"/>
              <w:bottom w:val="single" w:sz="4" w:space="0" w:color="auto"/>
              <w:right w:val="single" w:sz="4" w:space="0" w:color="auto"/>
            </w:tcBorders>
            <w:shd w:val="clear" w:color="auto" w:fill="auto"/>
            <w:noWrap/>
            <w:vAlign w:val="bottom"/>
            <w:hideMark/>
          </w:tcPr>
          <w:p w14:paraId="588F309E"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2,44</w:t>
            </w:r>
          </w:p>
        </w:tc>
        <w:tc>
          <w:tcPr>
            <w:tcW w:w="1262" w:type="pct"/>
            <w:tcBorders>
              <w:top w:val="nil"/>
              <w:left w:val="nil"/>
              <w:bottom w:val="single" w:sz="4" w:space="0" w:color="auto"/>
              <w:right w:val="single" w:sz="4" w:space="0" w:color="auto"/>
            </w:tcBorders>
            <w:shd w:val="clear" w:color="auto" w:fill="auto"/>
            <w:noWrap/>
            <w:vAlign w:val="bottom"/>
            <w:hideMark/>
          </w:tcPr>
          <w:p w14:paraId="0848F19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3,21</w:t>
            </w:r>
          </w:p>
        </w:tc>
        <w:tc>
          <w:tcPr>
            <w:tcW w:w="1029" w:type="pct"/>
            <w:tcBorders>
              <w:top w:val="nil"/>
              <w:left w:val="nil"/>
              <w:bottom w:val="single" w:sz="4" w:space="0" w:color="auto"/>
              <w:right w:val="single" w:sz="4" w:space="0" w:color="auto"/>
            </w:tcBorders>
            <w:shd w:val="clear" w:color="auto" w:fill="auto"/>
            <w:noWrap/>
            <w:vAlign w:val="bottom"/>
            <w:hideMark/>
          </w:tcPr>
          <w:p w14:paraId="716A1A87"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2,01</w:t>
            </w:r>
          </w:p>
        </w:tc>
      </w:tr>
      <w:tr w:rsidR="00C842FA" w:rsidRPr="00701049" w14:paraId="7F624DE9"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2CAD38BC"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lang w:eastAsia="es-CO"/>
              </w:rPr>
              <w:t>SURAMERICANA SEGUROS GENERALES</w:t>
            </w:r>
          </w:p>
        </w:tc>
        <w:tc>
          <w:tcPr>
            <w:tcW w:w="1113" w:type="pct"/>
            <w:tcBorders>
              <w:top w:val="nil"/>
              <w:left w:val="nil"/>
              <w:bottom w:val="single" w:sz="4" w:space="0" w:color="auto"/>
              <w:right w:val="single" w:sz="4" w:space="0" w:color="auto"/>
            </w:tcBorders>
            <w:shd w:val="clear" w:color="auto" w:fill="auto"/>
            <w:noWrap/>
            <w:vAlign w:val="bottom"/>
            <w:hideMark/>
          </w:tcPr>
          <w:p w14:paraId="0C665992"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1,21</w:t>
            </w:r>
          </w:p>
        </w:tc>
        <w:tc>
          <w:tcPr>
            <w:tcW w:w="1262" w:type="pct"/>
            <w:tcBorders>
              <w:top w:val="nil"/>
              <w:left w:val="nil"/>
              <w:bottom w:val="single" w:sz="4" w:space="0" w:color="auto"/>
              <w:right w:val="single" w:sz="4" w:space="0" w:color="auto"/>
            </w:tcBorders>
            <w:shd w:val="clear" w:color="auto" w:fill="auto"/>
            <w:noWrap/>
            <w:vAlign w:val="bottom"/>
            <w:hideMark/>
          </w:tcPr>
          <w:p w14:paraId="4D86DE4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1,23</w:t>
            </w:r>
          </w:p>
        </w:tc>
        <w:tc>
          <w:tcPr>
            <w:tcW w:w="1029" w:type="pct"/>
            <w:tcBorders>
              <w:top w:val="nil"/>
              <w:left w:val="nil"/>
              <w:bottom w:val="single" w:sz="4" w:space="0" w:color="auto"/>
              <w:right w:val="single" w:sz="4" w:space="0" w:color="auto"/>
            </w:tcBorders>
            <w:shd w:val="clear" w:color="auto" w:fill="auto"/>
            <w:noWrap/>
            <w:vAlign w:val="bottom"/>
            <w:hideMark/>
          </w:tcPr>
          <w:p w14:paraId="4A0A1206"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1,35</w:t>
            </w:r>
          </w:p>
        </w:tc>
      </w:tr>
      <w:tr w:rsidR="00C842FA" w:rsidRPr="00701049" w14:paraId="37C0C911" w14:textId="77777777" w:rsidTr="00AE465E">
        <w:trPr>
          <w:trHeight w:val="26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7953ECC3" w14:textId="77777777" w:rsidR="00C842FA" w:rsidRPr="00701049" w:rsidRDefault="00C842FA" w:rsidP="0070530E">
            <w:pPr>
              <w:spacing w:after="0" w:line="240" w:lineRule="auto"/>
              <w:rPr>
                <w:rFonts w:cstheme="minorHAnsi"/>
                <w:sz w:val="16"/>
                <w:szCs w:val="16"/>
                <w:lang w:eastAsia="es-CO"/>
              </w:rPr>
            </w:pPr>
            <w:r w:rsidRPr="00701049">
              <w:rPr>
                <w:rFonts w:cstheme="minorHAnsi"/>
                <w:sz w:val="16"/>
                <w:szCs w:val="16"/>
                <w:highlight w:val="red"/>
                <w:lang w:eastAsia="es-CO"/>
              </w:rPr>
              <w:t>ZURICH</w:t>
            </w:r>
            <w:r w:rsidRPr="00701049">
              <w:rPr>
                <w:rFonts w:cstheme="minorHAnsi"/>
                <w:sz w:val="16"/>
                <w:szCs w:val="16"/>
                <w:lang w:eastAsia="es-CO"/>
              </w:rPr>
              <w:t xml:space="preserve"> </w:t>
            </w:r>
          </w:p>
        </w:tc>
        <w:tc>
          <w:tcPr>
            <w:tcW w:w="1113" w:type="pct"/>
            <w:tcBorders>
              <w:top w:val="nil"/>
              <w:left w:val="nil"/>
              <w:bottom w:val="single" w:sz="4" w:space="0" w:color="auto"/>
              <w:right w:val="single" w:sz="4" w:space="0" w:color="auto"/>
            </w:tcBorders>
            <w:shd w:val="clear" w:color="auto" w:fill="auto"/>
            <w:noWrap/>
            <w:vAlign w:val="bottom"/>
          </w:tcPr>
          <w:p w14:paraId="23AEDE44"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1,0</w:t>
            </w:r>
          </w:p>
        </w:tc>
        <w:tc>
          <w:tcPr>
            <w:tcW w:w="1262" w:type="pct"/>
            <w:tcBorders>
              <w:top w:val="nil"/>
              <w:left w:val="nil"/>
              <w:bottom w:val="single" w:sz="4" w:space="0" w:color="auto"/>
              <w:right w:val="single" w:sz="4" w:space="0" w:color="auto"/>
            </w:tcBorders>
            <w:shd w:val="clear" w:color="auto" w:fill="auto"/>
            <w:noWrap/>
            <w:vAlign w:val="bottom"/>
          </w:tcPr>
          <w:p w14:paraId="0691A010"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highlight w:val="red"/>
                <w:lang w:eastAsia="es-CO"/>
              </w:rPr>
              <w:t>1,04</w:t>
            </w:r>
          </w:p>
        </w:tc>
        <w:tc>
          <w:tcPr>
            <w:tcW w:w="1029" w:type="pct"/>
            <w:tcBorders>
              <w:top w:val="nil"/>
              <w:left w:val="nil"/>
              <w:bottom w:val="single" w:sz="4" w:space="0" w:color="auto"/>
              <w:right w:val="single" w:sz="4" w:space="0" w:color="auto"/>
            </w:tcBorders>
            <w:shd w:val="clear" w:color="auto" w:fill="auto"/>
            <w:noWrap/>
            <w:vAlign w:val="bottom"/>
          </w:tcPr>
          <w:p w14:paraId="1BB6329F" w14:textId="77777777" w:rsidR="00C842FA" w:rsidRPr="00701049" w:rsidRDefault="00C842FA" w:rsidP="0070530E">
            <w:pPr>
              <w:spacing w:after="0" w:line="240" w:lineRule="auto"/>
              <w:jc w:val="center"/>
              <w:rPr>
                <w:rFonts w:cstheme="minorHAnsi"/>
                <w:color w:val="000000"/>
                <w:sz w:val="16"/>
                <w:szCs w:val="16"/>
                <w:lang w:eastAsia="es-CO"/>
              </w:rPr>
            </w:pPr>
            <w:r w:rsidRPr="00701049">
              <w:rPr>
                <w:rFonts w:cstheme="minorHAnsi"/>
                <w:color w:val="000000"/>
                <w:sz w:val="16"/>
                <w:szCs w:val="16"/>
                <w:lang w:eastAsia="es-CO"/>
              </w:rPr>
              <w:t>2,54</w:t>
            </w:r>
          </w:p>
        </w:tc>
      </w:tr>
    </w:tbl>
    <w:p w14:paraId="47F44800" w14:textId="77777777" w:rsidR="00C842FA" w:rsidRPr="0070530E" w:rsidRDefault="00C842FA" w:rsidP="0070530E">
      <w:pPr>
        <w:autoSpaceDE w:val="0"/>
        <w:autoSpaceDN w:val="0"/>
        <w:spacing w:after="0" w:line="240" w:lineRule="auto"/>
        <w:jc w:val="both"/>
        <w:rPr>
          <w:rFonts w:cstheme="minorHAnsi"/>
          <w:snapToGrid w:val="0"/>
        </w:rPr>
      </w:pPr>
    </w:p>
    <w:p w14:paraId="017AFA5A" w14:textId="77777777"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t>Análisis del indicador del nivel de endeudamiento</w:t>
      </w:r>
    </w:p>
    <w:p w14:paraId="65E2F3B5"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Se llevó a cabo el análisis de los indicadores de nivel de endeudamiento que muestra el mercado asegurador y de éste se puede deducir que los mismos arrojan un alto porcentaje, tal como se refleja en el siguiente cuadro resumen, extractado de la información registrada en el Registro Único de Proponentes RUP, que presentan las aseguradoras en los procesos de contratación estatal para seguros Generales:</w:t>
      </w:r>
    </w:p>
    <w:p w14:paraId="4EAC5C9E"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tblCellMar>
          <w:left w:w="70" w:type="dxa"/>
          <w:right w:w="70" w:type="dxa"/>
        </w:tblCellMar>
        <w:tblLook w:val="04A0" w:firstRow="1" w:lastRow="0" w:firstColumn="1" w:lastColumn="0" w:noHBand="0" w:noVBand="1"/>
      </w:tblPr>
      <w:tblGrid>
        <w:gridCol w:w="3575"/>
        <w:gridCol w:w="1639"/>
        <w:gridCol w:w="1639"/>
        <w:gridCol w:w="1641"/>
      </w:tblGrid>
      <w:tr w:rsidR="00C842FA" w:rsidRPr="00701049" w14:paraId="08DBB3AE" w14:textId="77777777" w:rsidTr="00AE465E">
        <w:trPr>
          <w:trHeight w:val="250"/>
        </w:trPr>
        <w:tc>
          <w:tcPr>
            <w:tcW w:w="2104"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4569F3FD" w14:textId="772BFE1F" w:rsidR="00C842FA" w:rsidRPr="00161E04" w:rsidRDefault="00701049"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A</w:t>
            </w:r>
            <w:r w:rsidR="00C842FA" w:rsidRPr="00161E04">
              <w:rPr>
                <w:rFonts w:asciiTheme="majorHAnsi" w:hAnsiTheme="majorHAnsi" w:cstheme="majorHAnsi"/>
                <w:b/>
                <w:bCs/>
                <w:color w:val="FFFFFF"/>
                <w:sz w:val="16"/>
                <w:szCs w:val="16"/>
                <w:lang w:eastAsia="es-CO"/>
              </w:rPr>
              <w:t>SEGURADORA</w:t>
            </w:r>
          </w:p>
        </w:tc>
        <w:tc>
          <w:tcPr>
            <w:tcW w:w="2896" w:type="pct"/>
            <w:gridSpan w:val="3"/>
            <w:tcBorders>
              <w:top w:val="single" w:sz="4" w:space="0" w:color="2F75B5"/>
              <w:left w:val="nil"/>
              <w:bottom w:val="single" w:sz="4" w:space="0" w:color="2F75B5"/>
              <w:right w:val="single" w:sz="4" w:space="0" w:color="2F75B5"/>
            </w:tcBorders>
            <w:shd w:val="clear" w:color="auto" w:fill="FF0000"/>
            <w:vAlign w:val="center"/>
            <w:hideMark/>
          </w:tcPr>
          <w:p w14:paraId="0CC1FB8B"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ENDEUDAMIENTO</w:t>
            </w:r>
          </w:p>
        </w:tc>
      </w:tr>
      <w:tr w:rsidR="00C842FA" w:rsidRPr="00701049" w14:paraId="7E16FF66" w14:textId="77777777" w:rsidTr="00AE465E">
        <w:trPr>
          <w:trHeight w:val="260"/>
        </w:trPr>
        <w:tc>
          <w:tcPr>
            <w:tcW w:w="2104"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6F88C5D1" w14:textId="77777777" w:rsidR="00C842FA" w:rsidRPr="00161E04" w:rsidRDefault="00C842FA" w:rsidP="0070530E">
            <w:pPr>
              <w:spacing w:after="0" w:line="240" w:lineRule="auto"/>
              <w:rPr>
                <w:rFonts w:asciiTheme="majorHAnsi" w:hAnsiTheme="majorHAnsi" w:cstheme="majorHAnsi"/>
                <w:b/>
                <w:bCs/>
                <w:color w:val="FFFFFF"/>
                <w:sz w:val="16"/>
                <w:szCs w:val="16"/>
                <w:lang w:eastAsia="es-CO"/>
              </w:rPr>
            </w:pPr>
          </w:p>
        </w:tc>
        <w:tc>
          <w:tcPr>
            <w:tcW w:w="965" w:type="pct"/>
            <w:tcBorders>
              <w:top w:val="nil"/>
              <w:left w:val="nil"/>
              <w:bottom w:val="single" w:sz="4" w:space="0" w:color="2F75B5"/>
              <w:right w:val="single" w:sz="4" w:space="0" w:color="2F75B5"/>
            </w:tcBorders>
            <w:shd w:val="clear" w:color="auto" w:fill="FF0000"/>
            <w:vAlign w:val="center"/>
            <w:hideMark/>
          </w:tcPr>
          <w:p w14:paraId="6D19D830"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2021</w:t>
            </w:r>
          </w:p>
        </w:tc>
        <w:tc>
          <w:tcPr>
            <w:tcW w:w="965" w:type="pct"/>
            <w:tcBorders>
              <w:top w:val="nil"/>
              <w:left w:val="nil"/>
              <w:bottom w:val="single" w:sz="4" w:space="0" w:color="2F75B5"/>
              <w:right w:val="single" w:sz="4" w:space="0" w:color="2F75B5"/>
            </w:tcBorders>
            <w:shd w:val="clear" w:color="auto" w:fill="FF0000"/>
            <w:vAlign w:val="center"/>
            <w:hideMark/>
          </w:tcPr>
          <w:p w14:paraId="13878D9F"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2020</w:t>
            </w:r>
          </w:p>
        </w:tc>
        <w:tc>
          <w:tcPr>
            <w:tcW w:w="965" w:type="pct"/>
            <w:tcBorders>
              <w:top w:val="nil"/>
              <w:left w:val="nil"/>
              <w:bottom w:val="single" w:sz="4" w:space="0" w:color="2F75B5"/>
              <w:right w:val="single" w:sz="4" w:space="0" w:color="2F75B5"/>
            </w:tcBorders>
            <w:shd w:val="clear" w:color="auto" w:fill="FF0000"/>
            <w:vAlign w:val="center"/>
            <w:hideMark/>
          </w:tcPr>
          <w:p w14:paraId="5250BAB1" w14:textId="77777777" w:rsidR="00C842FA" w:rsidRPr="00161E04" w:rsidRDefault="00C842FA" w:rsidP="0070530E">
            <w:pPr>
              <w:spacing w:after="0" w:line="240" w:lineRule="auto"/>
              <w:jc w:val="center"/>
              <w:rPr>
                <w:rFonts w:asciiTheme="majorHAnsi" w:hAnsiTheme="majorHAnsi" w:cstheme="majorHAnsi"/>
                <w:b/>
                <w:bCs/>
                <w:color w:val="FFFFFF"/>
                <w:sz w:val="16"/>
                <w:szCs w:val="16"/>
                <w:lang w:eastAsia="es-CO"/>
              </w:rPr>
            </w:pPr>
            <w:r w:rsidRPr="00161E04">
              <w:rPr>
                <w:rFonts w:asciiTheme="majorHAnsi" w:hAnsiTheme="majorHAnsi" w:cstheme="majorHAnsi"/>
                <w:b/>
                <w:bCs/>
                <w:color w:val="FFFFFF"/>
                <w:sz w:val="16"/>
                <w:szCs w:val="16"/>
                <w:lang w:eastAsia="es-CO"/>
              </w:rPr>
              <w:t>2019</w:t>
            </w:r>
          </w:p>
        </w:tc>
      </w:tr>
      <w:tr w:rsidR="00C842FA" w:rsidRPr="00701049" w14:paraId="3CE522FA" w14:textId="77777777" w:rsidTr="00AE465E">
        <w:trPr>
          <w:trHeight w:val="260"/>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0E9DC"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ALLIANZ</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622875D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86,43%</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453E6A10"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84,94%</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14:paraId="0677CC4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86,71%</w:t>
            </w:r>
          </w:p>
        </w:tc>
      </w:tr>
      <w:tr w:rsidR="00C842FA" w:rsidRPr="00701049" w14:paraId="1022377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3D7BA07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AXA COLPATRIA</w:t>
            </w:r>
          </w:p>
        </w:tc>
        <w:tc>
          <w:tcPr>
            <w:tcW w:w="965" w:type="pct"/>
            <w:tcBorders>
              <w:top w:val="nil"/>
              <w:left w:val="nil"/>
              <w:bottom w:val="single" w:sz="4" w:space="0" w:color="auto"/>
              <w:right w:val="single" w:sz="4" w:space="0" w:color="auto"/>
            </w:tcBorders>
            <w:shd w:val="clear" w:color="auto" w:fill="auto"/>
            <w:noWrap/>
            <w:vAlign w:val="bottom"/>
            <w:hideMark/>
          </w:tcPr>
          <w:p w14:paraId="4AC7F8A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88,69%</w:t>
            </w:r>
          </w:p>
        </w:tc>
        <w:tc>
          <w:tcPr>
            <w:tcW w:w="965" w:type="pct"/>
            <w:tcBorders>
              <w:top w:val="nil"/>
              <w:left w:val="nil"/>
              <w:bottom w:val="single" w:sz="4" w:space="0" w:color="auto"/>
              <w:right w:val="single" w:sz="4" w:space="0" w:color="auto"/>
            </w:tcBorders>
            <w:shd w:val="clear" w:color="auto" w:fill="auto"/>
            <w:noWrap/>
            <w:vAlign w:val="bottom"/>
            <w:hideMark/>
          </w:tcPr>
          <w:p w14:paraId="749B0F6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86,20%</w:t>
            </w:r>
          </w:p>
        </w:tc>
        <w:tc>
          <w:tcPr>
            <w:tcW w:w="965" w:type="pct"/>
            <w:tcBorders>
              <w:top w:val="nil"/>
              <w:left w:val="nil"/>
              <w:bottom w:val="single" w:sz="4" w:space="0" w:color="auto"/>
              <w:right w:val="single" w:sz="4" w:space="0" w:color="auto"/>
            </w:tcBorders>
            <w:shd w:val="clear" w:color="auto" w:fill="auto"/>
            <w:noWrap/>
            <w:vAlign w:val="bottom"/>
            <w:hideMark/>
          </w:tcPr>
          <w:p w14:paraId="7BABFD52"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87,80%</w:t>
            </w:r>
          </w:p>
        </w:tc>
      </w:tr>
      <w:tr w:rsidR="00C842FA" w:rsidRPr="00701049" w14:paraId="0FB437EA"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BB78444"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CHUBB DE COLOMBIA</w:t>
            </w:r>
          </w:p>
        </w:tc>
        <w:tc>
          <w:tcPr>
            <w:tcW w:w="965" w:type="pct"/>
            <w:tcBorders>
              <w:top w:val="nil"/>
              <w:left w:val="nil"/>
              <w:bottom w:val="single" w:sz="4" w:space="0" w:color="auto"/>
              <w:right w:val="single" w:sz="4" w:space="0" w:color="auto"/>
            </w:tcBorders>
            <w:shd w:val="clear" w:color="auto" w:fill="auto"/>
            <w:noWrap/>
            <w:vAlign w:val="bottom"/>
            <w:hideMark/>
          </w:tcPr>
          <w:p w14:paraId="1A59CD9E"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85,30%</w:t>
            </w:r>
          </w:p>
        </w:tc>
        <w:tc>
          <w:tcPr>
            <w:tcW w:w="965" w:type="pct"/>
            <w:tcBorders>
              <w:top w:val="nil"/>
              <w:left w:val="nil"/>
              <w:bottom w:val="single" w:sz="4" w:space="0" w:color="auto"/>
              <w:right w:val="single" w:sz="4" w:space="0" w:color="auto"/>
            </w:tcBorders>
            <w:shd w:val="clear" w:color="auto" w:fill="auto"/>
            <w:noWrap/>
            <w:vAlign w:val="bottom"/>
            <w:hideMark/>
          </w:tcPr>
          <w:p w14:paraId="0231E09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85,15%</w:t>
            </w:r>
          </w:p>
        </w:tc>
        <w:tc>
          <w:tcPr>
            <w:tcW w:w="965" w:type="pct"/>
            <w:tcBorders>
              <w:top w:val="nil"/>
              <w:left w:val="nil"/>
              <w:bottom w:val="single" w:sz="4" w:space="0" w:color="auto"/>
              <w:right w:val="single" w:sz="4" w:space="0" w:color="auto"/>
            </w:tcBorders>
            <w:shd w:val="clear" w:color="auto" w:fill="auto"/>
            <w:noWrap/>
            <w:vAlign w:val="bottom"/>
            <w:hideMark/>
          </w:tcPr>
          <w:p w14:paraId="4E82EC6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87,06%</w:t>
            </w:r>
          </w:p>
        </w:tc>
      </w:tr>
      <w:tr w:rsidR="00C842FA" w:rsidRPr="00701049" w14:paraId="10AB1E04"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FD1C63B"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HDI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7DAE7E1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87,09%</w:t>
            </w:r>
          </w:p>
        </w:tc>
        <w:tc>
          <w:tcPr>
            <w:tcW w:w="965" w:type="pct"/>
            <w:tcBorders>
              <w:top w:val="nil"/>
              <w:left w:val="nil"/>
              <w:bottom w:val="single" w:sz="4" w:space="0" w:color="auto"/>
              <w:right w:val="single" w:sz="4" w:space="0" w:color="auto"/>
            </w:tcBorders>
            <w:shd w:val="clear" w:color="auto" w:fill="auto"/>
            <w:noWrap/>
            <w:vAlign w:val="bottom"/>
            <w:hideMark/>
          </w:tcPr>
          <w:p w14:paraId="2A27AB6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81,08%</w:t>
            </w:r>
          </w:p>
        </w:tc>
        <w:tc>
          <w:tcPr>
            <w:tcW w:w="965" w:type="pct"/>
            <w:tcBorders>
              <w:top w:val="nil"/>
              <w:left w:val="nil"/>
              <w:bottom w:val="single" w:sz="4" w:space="0" w:color="auto"/>
              <w:right w:val="single" w:sz="4" w:space="0" w:color="auto"/>
            </w:tcBorders>
            <w:shd w:val="clear" w:color="auto" w:fill="auto"/>
            <w:noWrap/>
            <w:vAlign w:val="bottom"/>
            <w:hideMark/>
          </w:tcPr>
          <w:p w14:paraId="4EE70B5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83,86%</w:t>
            </w:r>
          </w:p>
        </w:tc>
      </w:tr>
      <w:tr w:rsidR="00C842FA" w:rsidRPr="00701049" w14:paraId="7AE91729"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0FAB3A46"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LIBERTY SEGUROS</w:t>
            </w:r>
          </w:p>
        </w:tc>
        <w:tc>
          <w:tcPr>
            <w:tcW w:w="965" w:type="pct"/>
            <w:tcBorders>
              <w:top w:val="nil"/>
              <w:left w:val="nil"/>
              <w:bottom w:val="single" w:sz="4" w:space="0" w:color="auto"/>
              <w:right w:val="single" w:sz="4" w:space="0" w:color="auto"/>
            </w:tcBorders>
            <w:shd w:val="clear" w:color="auto" w:fill="auto"/>
            <w:noWrap/>
            <w:vAlign w:val="bottom"/>
            <w:hideMark/>
          </w:tcPr>
          <w:p w14:paraId="36E7597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77,98%</w:t>
            </w:r>
          </w:p>
        </w:tc>
        <w:tc>
          <w:tcPr>
            <w:tcW w:w="965" w:type="pct"/>
            <w:tcBorders>
              <w:top w:val="nil"/>
              <w:left w:val="nil"/>
              <w:bottom w:val="single" w:sz="4" w:space="0" w:color="auto"/>
              <w:right w:val="single" w:sz="4" w:space="0" w:color="auto"/>
            </w:tcBorders>
            <w:shd w:val="clear" w:color="auto" w:fill="auto"/>
            <w:noWrap/>
            <w:vAlign w:val="bottom"/>
            <w:hideMark/>
          </w:tcPr>
          <w:p w14:paraId="645FC90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71,83%</w:t>
            </w:r>
          </w:p>
        </w:tc>
        <w:tc>
          <w:tcPr>
            <w:tcW w:w="965" w:type="pct"/>
            <w:tcBorders>
              <w:top w:val="nil"/>
              <w:left w:val="nil"/>
              <w:bottom w:val="single" w:sz="4" w:space="0" w:color="auto"/>
              <w:right w:val="single" w:sz="4" w:space="0" w:color="auto"/>
            </w:tcBorders>
            <w:shd w:val="clear" w:color="auto" w:fill="auto"/>
            <w:noWrap/>
            <w:vAlign w:val="bottom"/>
            <w:hideMark/>
          </w:tcPr>
          <w:p w14:paraId="49AFDE1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70,18%</w:t>
            </w:r>
          </w:p>
        </w:tc>
      </w:tr>
      <w:tr w:rsidR="00C842FA" w:rsidRPr="00701049" w14:paraId="15D1C97B"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5B2A802C"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MAPFRE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0883F0A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91,48%</w:t>
            </w:r>
          </w:p>
        </w:tc>
        <w:tc>
          <w:tcPr>
            <w:tcW w:w="965" w:type="pct"/>
            <w:tcBorders>
              <w:top w:val="nil"/>
              <w:left w:val="nil"/>
              <w:bottom w:val="single" w:sz="4" w:space="0" w:color="auto"/>
              <w:right w:val="single" w:sz="4" w:space="0" w:color="auto"/>
            </w:tcBorders>
            <w:shd w:val="clear" w:color="auto" w:fill="auto"/>
            <w:noWrap/>
            <w:vAlign w:val="bottom"/>
            <w:hideMark/>
          </w:tcPr>
          <w:p w14:paraId="48B2FF6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93,08%</w:t>
            </w:r>
          </w:p>
        </w:tc>
        <w:tc>
          <w:tcPr>
            <w:tcW w:w="965" w:type="pct"/>
            <w:tcBorders>
              <w:top w:val="nil"/>
              <w:left w:val="nil"/>
              <w:bottom w:val="single" w:sz="4" w:space="0" w:color="auto"/>
              <w:right w:val="single" w:sz="4" w:space="0" w:color="auto"/>
            </w:tcBorders>
            <w:shd w:val="clear" w:color="auto" w:fill="auto"/>
            <w:noWrap/>
            <w:vAlign w:val="bottom"/>
            <w:hideMark/>
          </w:tcPr>
          <w:p w14:paraId="15FC944B"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94,21%</w:t>
            </w:r>
          </w:p>
        </w:tc>
      </w:tr>
      <w:tr w:rsidR="00C842FA" w:rsidRPr="00701049" w14:paraId="369C855C"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C2B2B0F"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MUNDIAL DE SEGUROS</w:t>
            </w:r>
          </w:p>
        </w:tc>
        <w:tc>
          <w:tcPr>
            <w:tcW w:w="965" w:type="pct"/>
            <w:tcBorders>
              <w:top w:val="nil"/>
              <w:left w:val="nil"/>
              <w:bottom w:val="single" w:sz="4" w:space="0" w:color="auto"/>
              <w:right w:val="single" w:sz="4" w:space="0" w:color="auto"/>
            </w:tcBorders>
            <w:shd w:val="clear" w:color="auto" w:fill="auto"/>
            <w:noWrap/>
            <w:vAlign w:val="bottom"/>
            <w:hideMark/>
          </w:tcPr>
          <w:p w14:paraId="0F1F9AD8"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91,44%</w:t>
            </w:r>
          </w:p>
        </w:tc>
        <w:tc>
          <w:tcPr>
            <w:tcW w:w="965" w:type="pct"/>
            <w:tcBorders>
              <w:top w:val="nil"/>
              <w:left w:val="nil"/>
              <w:bottom w:val="single" w:sz="4" w:space="0" w:color="auto"/>
              <w:right w:val="single" w:sz="4" w:space="0" w:color="auto"/>
            </w:tcBorders>
            <w:shd w:val="clear" w:color="auto" w:fill="auto"/>
            <w:noWrap/>
            <w:vAlign w:val="bottom"/>
            <w:hideMark/>
          </w:tcPr>
          <w:p w14:paraId="4A84136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90,15%</w:t>
            </w:r>
          </w:p>
        </w:tc>
        <w:tc>
          <w:tcPr>
            <w:tcW w:w="965" w:type="pct"/>
            <w:tcBorders>
              <w:top w:val="nil"/>
              <w:left w:val="nil"/>
              <w:bottom w:val="single" w:sz="4" w:space="0" w:color="auto"/>
              <w:right w:val="single" w:sz="4" w:space="0" w:color="auto"/>
            </w:tcBorders>
            <w:shd w:val="clear" w:color="auto" w:fill="auto"/>
            <w:noWrap/>
            <w:vAlign w:val="bottom"/>
            <w:hideMark/>
          </w:tcPr>
          <w:p w14:paraId="47E851F2"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90,82%</w:t>
            </w:r>
          </w:p>
        </w:tc>
      </w:tr>
      <w:tr w:rsidR="00C842FA" w:rsidRPr="00701049" w14:paraId="5599546A"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DB4E919"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PREVISORA</w:t>
            </w:r>
          </w:p>
        </w:tc>
        <w:tc>
          <w:tcPr>
            <w:tcW w:w="965" w:type="pct"/>
            <w:tcBorders>
              <w:top w:val="nil"/>
              <w:left w:val="nil"/>
              <w:bottom w:val="single" w:sz="4" w:space="0" w:color="auto"/>
              <w:right w:val="single" w:sz="4" w:space="0" w:color="auto"/>
            </w:tcBorders>
            <w:shd w:val="clear" w:color="auto" w:fill="auto"/>
            <w:noWrap/>
            <w:vAlign w:val="bottom"/>
            <w:hideMark/>
          </w:tcPr>
          <w:p w14:paraId="105F3349"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85,46%</w:t>
            </w:r>
          </w:p>
        </w:tc>
        <w:tc>
          <w:tcPr>
            <w:tcW w:w="965" w:type="pct"/>
            <w:tcBorders>
              <w:top w:val="nil"/>
              <w:left w:val="nil"/>
              <w:bottom w:val="single" w:sz="4" w:space="0" w:color="auto"/>
              <w:right w:val="single" w:sz="4" w:space="0" w:color="auto"/>
            </w:tcBorders>
            <w:shd w:val="clear" w:color="auto" w:fill="auto"/>
            <w:noWrap/>
            <w:vAlign w:val="bottom"/>
            <w:hideMark/>
          </w:tcPr>
          <w:p w14:paraId="2F3F2AC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82,73%</w:t>
            </w:r>
          </w:p>
        </w:tc>
        <w:tc>
          <w:tcPr>
            <w:tcW w:w="965" w:type="pct"/>
            <w:tcBorders>
              <w:top w:val="nil"/>
              <w:left w:val="nil"/>
              <w:bottom w:val="single" w:sz="4" w:space="0" w:color="auto"/>
              <w:right w:val="single" w:sz="4" w:space="0" w:color="auto"/>
            </w:tcBorders>
            <w:shd w:val="clear" w:color="auto" w:fill="auto"/>
            <w:noWrap/>
            <w:vAlign w:val="bottom"/>
            <w:hideMark/>
          </w:tcPr>
          <w:p w14:paraId="2558AAB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81,11%</w:t>
            </w:r>
          </w:p>
        </w:tc>
      </w:tr>
      <w:tr w:rsidR="00C842FA" w:rsidRPr="00701049" w14:paraId="2DB45E8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764859F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SBS SEGUROS COLOMBIA</w:t>
            </w:r>
          </w:p>
        </w:tc>
        <w:tc>
          <w:tcPr>
            <w:tcW w:w="965" w:type="pct"/>
            <w:tcBorders>
              <w:top w:val="nil"/>
              <w:left w:val="nil"/>
              <w:bottom w:val="single" w:sz="4" w:space="0" w:color="auto"/>
              <w:right w:val="single" w:sz="4" w:space="0" w:color="auto"/>
            </w:tcBorders>
            <w:shd w:val="clear" w:color="auto" w:fill="auto"/>
            <w:noWrap/>
            <w:vAlign w:val="bottom"/>
            <w:hideMark/>
          </w:tcPr>
          <w:p w14:paraId="50B07BC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85,27%</w:t>
            </w:r>
          </w:p>
        </w:tc>
        <w:tc>
          <w:tcPr>
            <w:tcW w:w="965" w:type="pct"/>
            <w:tcBorders>
              <w:top w:val="nil"/>
              <w:left w:val="nil"/>
              <w:bottom w:val="single" w:sz="4" w:space="0" w:color="auto"/>
              <w:right w:val="single" w:sz="4" w:space="0" w:color="auto"/>
            </w:tcBorders>
            <w:shd w:val="clear" w:color="auto" w:fill="auto"/>
            <w:noWrap/>
            <w:vAlign w:val="bottom"/>
            <w:hideMark/>
          </w:tcPr>
          <w:p w14:paraId="1D893E5D"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86,76%</w:t>
            </w:r>
          </w:p>
        </w:tc>
        <w:tc>
          <w:tcPr>
            <w:tcW w:w="965" w:type="pct"/>
            <w:tcBorders>
              <w:top w:val="nil"/>
              <w:left w:val="nil"/>
              <w:bottom w:val="single" w:sz="4" w:space="0" w:color="auto"/>
              <w:right w:val="single" w:sz="4" w:space="0" w:color="auto"/>
            </w:tcBorders>
            <w:shd w:val="clear" w:color="auto" w:fill="auto"/>
            <w:noWrap/>
            <w:vAlign w:val="bottom"/>
            <w:hideMark/>
          </w:tcPr>
          <w:p w14:paraId="352A2AA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90,88%</w:t>
            </w:r>
          </w:p>
        </w:tc>
      </w:tr>
      <w:tr w:rsidR="00C842FA" w:rsidRPr="00701049" w14:paraId="03172C9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7B9C4566"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SEGUROS DEL ESTADO</w:t>
            </w:r>
          </w:p>
        </w:tc>
        <w:tc>
          <w:tcPr>
            <w:tcW w:w="965" w:type="pct"/>
            <w:tcBorders>
              <w:top w:val="nil"/>
              <w:left w:val="nil"/>
              <w:bottom w:val="single" w:sz="4" w:space="0" w:color="auto"/>
              <w:right w:val="single" w:sz="4" w:space="0" w:color="auto"/>
            </w:tcBorders>
            <w:shd w:val="clear" w:color="auto" w:fill="auto"/>
            <w:noWrap/>
            <w:vAlign w:val="bottom"/>
            <w:hideMark/>
          </w:tcPr>
          <w:p w14:paraId="351F55C3"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85,00%</w:t>
            </w:r>
          </w:p>
        </w:tc>
        <w:tc>
          <w:tcPr>
            <w:tcW w:w="965" w:type="pct"/>
            <w:tcBorders>
              <w:top w:val="nil"/>
              <w:left w:val="nil"/>
              <w:bottom w:val="single" w:sz="4" w:space="0" w:color="auto"/>
              <w:right w:val="single" w:sz="4" w:space="0" w:color="auto"/>
            </w:tcBorders>
            <w:shd w:val="clear" w:color="auto" w:fill="auto"/>
            <w:noWrap/>
            <w:vAlign w:val="bottom"/>
            <w:hideMark/>
          </w:tcPr>
          <w:p w14:paraId="0E29EF7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85,65%</w:t>
            </w:r>
          </w:p>
        </w:tc>
        <w:tc>
          <w:tcPr>
            <w:tcW w:w="965" w:type="pct"/>
            <w:tcBorders>
              <w:top w:val="nil"/>
              <w:left w:val="nil"/>
              <w:bottom w:val="single" w:sz="4" w:space="0" w:color="auto"/>
              <w:right w:val="single" w:sz="4" w:space="0" w:color="auto"/>
            </w:tcBorders>
            <w:shd w:val="clear" w:color="auto" w:fill="auto"/>
            <w:noWrap/>
            <w:vAlign w:val="bottom"/>
            <w:hideMark/>
          </w:tcPr>
          <w:p w14:paraId="79D5331F"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90,58%</w:t>
            </w:r>
          </w:p>
        </w:tc>
      </w:tr>
      <w:tr w:rsidR="00C842FA" w:rsidRPr="00701049" w14:paraId="0437DCCB"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B1762B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 xml:space="preserve">SOLIDARIA </w:t>
            </w:r>
          </w:p>
        </w:tc>
        <w:tc>
          <w:tcPr>
            <w:tcW w:w="965" w:type="pct"/>
            <w:tcBorders>
              <w:top w:val="nil"/>
              <w:left w:val="nil"/>
              <w:bottom w:val="single" w:sz="4" w:space="0" w:color="auto"/>
              <w:right w:val="single" w:sz="4" w:space="0" w:color="auto"/>
            </w:tcBorders>
            <w:shd w:val="clear" w:color="auto" w:fill="auto"/>
            <w:noWrap/>
            <w:vAlign w:val="bottom"/>
            <w:hideMark/>
          </w:tcPr>
          <w:p w14:paraId="3B3304F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80,36%</w:t>
            </w:r>
          </w:p>
        </w:tc>
        <w:tc>
          <w:tcPr>
            <w:tcW w:w="965" w:type="pct"/>
            <w:tcBorders>
              <w:top w:val="nil"/>
              <w:left w:val="nil"/>
              <w:bottom w:val="single" w:sz="4" w:space="0" w:color="auto"/>
              <w:right w:val="single" w:sz="4" w:space="0" w:color="auto"/>
            </w:tcBorders>
            <w:shd w:val="clear" w:color="auto" w:fill="auto"/>
            <w:noWrap/>
            <w:vAlign w:val="bottom"/>
            <w:hideMark/>
          </w:tcPr>
          <w:p w14:paraId="2F52333A"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73,00%</w:t>
            </w:r>
          </w:p>
        </w:tc>
        <w:tc>
          <w:tcPr>
            <w:tcW w:w="965" w:type="pct"/>
            <w:tcBorders>
              <w:top w:val="nil"/>
              <w:left w:val="nil"/>
              <w:bottom w:val="single" w:sz="4" w:space="0" w:color="auto"/>
              <w:right w:val="single" w:sz="4" w:space="0" w:color="auto"/>
            </w:tcBorders>
            <w:shd w:val="clear" w:color="auto" w:fill="auto"/>
            <w:noWrap/>
            <w:vAlign w:val="bottom"/>
            <w:hideMark/>
          </w:tcPr>
          <w:p w14:paraId="7F83F41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73,07%</w:t>
            </w:r>
          </w:p>
        </w:tc>
      </w:tr>
      <w:tr w:rsidR="00C842FA" w:rsidRPr="00701049" w14:paraId="6A9D2E4E"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6E1E0154"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SURAMERICANA SEGUROS GENERALES</w:t>
            </w:r>
          </w:p>
        </w:tc>
        <w:tc>
          <w:tcPr>
            <w:tcW w:w="965" w:type="pct"/>
            <w:tcBorders>
              <w:top w:val="nil"/>
              <w:left w:val="nil"/>
              <w:bottom w:val="single" w:sz="4" w:space="0" w:color="auto"/>
              <w:right w:val="single" w:sz="4" w:space="0" w:color="auto"/>
            </w:tcBorders>
            <w:shd w:val="clear" w:color="auto" w:fill="auto"/>
            <w:noWrap/>
            <w:vAlign w:val="bottom"/>
            <w:hideMark/>
          </w:tcPr>
          <w:p w14:paraId="1025EC74"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86,38%</w:t>
            </w:r>
          </w:p>
        </w:tc>
        <w:tc>
          <w:tcPr>
            <w:tcW w:w="965" w:type="pct"/>
            <w:tcBorders>
              <w:top w:val="nil"/>
              <w:left w:val="nil"/>
              <w:bottom w:val="single" w:sz="4" w:space="0" w:color="auto"/>
              <w:right w:val="single" w:sz="4" w:space="0" w:color="auto"/>
            </w:tcBorders>
            <w:shd w:val="clear" w:color="auto" w:fill="auto"/>
            <w:noWrap/>
            <w:vAlign w:val="bottom"/>
            <w:hideMark/>
          </w:tcPr>
          <w:p w14:paraId="19ECD836"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85,17%</w:t>
            </w:r>
          </w:p>
        </w:tc>
        <w:tc>
          <w:tcPr>
            <w:tcW w:w="965" w:type="pct"/>
            <w:tcBorders>
              <w:top w:val="nil"/>
              <w:left w:val="nil"/>
              <w:bottom w:val="single" w:sz="4" w:space="0" w:color="auto"/>
              <w:right w:val="single" w:sz="4" w:space="0" w:color="auto"/>
            </w:tcBorders>
            <w:shd w:val="clear" w:color="auto" w:fill="auto"/>
            <w:noWrap/>
            <w:vAlign w:val="bottom"/>
            <w:hideMark/>
          </w:tcPr>
          <w:p w14:paraId="2E2F60B1"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85,71%</w:t>
            </w:r>
          </w:p>
        </w:tc>
      </w:tr>
      <w:tr w:rsidR="00C842FA" w:rsidRPr="00701049" w14:paraId="79709299" w14:textId="77777777" w:rsidTr="00AE465E">
        <w:trPr>
          <w:trHeight w:val="260"/>
        </w:trPr>
        <w:tc>
          <w:tcPr>
            <w:tcW w:w="2104" w:type="pct"/>
            <w:tcBorders>
              <w:top w:val="nil"/>
              <w:left w:val="single" w:sz="4" w:space="0" w:color="auto"/>
              <w:bottom w:val="single" w:sz="4" w:space="0" w:color="auto"/>
              <w:right w:val="single" w:sz="4" w:space="0" w:color="auto"/>
            </w:tcBorders>
            <w:shd w:val="clear" w:color="auto" w:fill="auto"/>
            <w:vAlign w:val="center"/>
          </w:tcPr>
          <w:p w14:paraId="2B065588" w14:textId="77777777" w:rsidR="00C842FA" w:rsidRPr="00701049" w:rsidRDefault="00C842FA" w:rsidP="0070530E">
            <w:pPr>
              <w:spacing w:after="0" w:line="240" w:lineRule="auto"/>
              <w:rPr>
                <w:rFonts w:asciiTheme="majorHAnsi" w:hAnsiTheme="majorHAnsi" w:cstheme="majorHAnsi"/>
                <w:sz w:val="16"/>
                <w:szCs w:val="16"/>
                <w:lang w:eastAsia="es-CO"/>
              </w:rPr>
            </w:pPr>
            <w:r w:rsidRPr="00701049">
              <w:rPr>
                <w:rFonts w:asciiTheme="majorHAnsi" w:hAnsiTheme="majorHAnsi" w:cstheme="majorHAnsi"/>
                <w:sz w:val="16"/>
                <w:szCs w:val="16"/>
                <w:lang w:eastAsia="es-CO"/>
              </w:rPr>
              <w:t>ZURICH</w:t>
            </w:r>
          </w:p>
        </w:tc>
        <w:tc>
          <w:tcPr>
            <w:tcW w:w="965" w:type="pct"/>
            <w:tcBorders>
              <w:top w:val="nil"/>
              <w:left w:val="nil"/>
              <w:bottom w:val="single" w:sz="4" w:space="0" w:color="auto"/>
              <w:right w:val="single" w:sz="4" w:space="0" w:color="auto"/>
            </w:tcBorders>
            <w:shd w:val="clear" w:color="auto" w:fill="auto"/>
            <w:noWrap/>
            <w:vAlign w:val="bottom"/>
          </w:tcPr>
          <w:p w14:paraId="2D0C0B2A"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49,41%</w:t>
            </w:r>
          </w:p>
        </w:tc>
        <w:tc>
          <w:tcPr>
            <w:tcW w:w="965" w:type="pct"/>
            <w:tcBorders>
              <w:top w:val="nil"/>
              <w:left w:val="nil"/>
              <w:bottom w:val="single" w:sz="4" w:space="0" w:color="auto"/>
              <w:right w:val="single" w:sz="4" w:space="0" w:color="auto"/>
            </w:tcBorders>
            <w:shd w:val="clear" w:color="auto" w:fill="auto"/>
            <w:noWrap/>
            <w:vAlign w:val="bottom"/>
          </w:tcPr>
          <w:p w14:paraId="42150C0C"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87,17%</w:t>
            </w:r>
          </w:p>
        </w:tc>
        <w:tc>
          <w:tcPr>
            <w:tcW w:w="965" w:type="pct"/>
            <w:tcBorders>
              <w:top w:val="nil"/>
              <w:left w:val="nil"/>
              <w:bottom w:val="single" w:sz="4" w:space="0" w:color="auto"/>
              <w:right w:val="single" w:sz="4" w:space="0" w:color="auto"/>
            </w:tcBorders>
            <w:shd w:val="clear" w:color="auto" w:fill="auto"/>
            <w:noWrap/>
            <w:vAlign w:val="bottom"/>
          </w:tcPr>
          <w:p w14:paraId="3C7BEE45" w14:textId="77777777" w:rsidR="00C842FA" w:rsidRPr="00701049" w:rsidRDefault="00C842FA" w:rsidP="0070530E">
            <w:pPr>
              <w:spacing w:after="0" w:line="240" w:lineRule="auto"/>
              <w:jc w:val="right"/>
              <w:rPr>
                <w:rFonts w:asciiTheme="majorHAnsi" w:hAnsiTheme="majorHAnsi" w:cstheme="majorHAnsi"/>
                <w:color w:val="000000"/>
                <w:sz w:val="16"/>
                <w:szCs w:val="16"/>
                <w:lang w:eastAsia="es-CO"/>
              </w:rPr>
            </w:pPr>
            <w:r w:rsidRPr="00701049">
              <w:rPr>
                <w:rFonts w:asciiTheme="majorHAnsi" w:hAnsiTheme="majorHAnsi" w:cstheme="majorHAnsi"/>
                <w:color w:val="000000"/>
                <w:sz w:val="16"/>
                <w:szCs w:val="16"/>
                <w:lang w:eastAsia="es-CO"/>
              </w:rPr>
              <w:t>82,32%</w:t>
            </w:r>
          </w:p>
        </w:tc>
      </w:tr>
    </w:tbl>
    <w:p w14:paraId="6EB4E6FF" w14:textId="77777777" w:rsidR="00C842FA" w:rsidRPr="0070530E" w:rsidRDefault="00C842FA" w:rsidP="0070530E">
      <w:pPr>
        <w:autoSpaceDE w:val="0"/>
        <w:autoSpaceDN w:val="0"/>
        <w:spacing w:after="0" w:line="240" w:lineRule="auto"/>
        <w:jc w:val="both"/>
        <w:rPr>
          <w:rFonts w:cstheme="minorHAnsi"/>
          <w:snapToGrid w:val="0"/>
        </w:rPr>
      </w:pPr>
    </w:p>
    <w:p w14:paraId="2D0EC8BD"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La información antes mostrada, corresponde a aseguradoras que participan en los procesos de contratación de seguros que adelantan las entidades estatales, habida cuenta que tal como se expone en este análisis del sector, solo una parte de las compañías de seguros autorizadas para operar en Colombia por la Superintendencia Financiera, intervienen en los mismos.</w:t>
      </w:r>
    </w:p>
    <w:p w14:paraId="2B37B721" w14:textId="77777777" w:rsidR="00C842FA" w:rsidRPr="0070530E" w:rsidRDefault="00C842FA" w:rsidP="0070530E">
      <w:pPr>
        <w:autoSpaceDE w:val="0"/>
        <w:autoSpaceDN w:val="0"/>
        <w:spacing w:after="0" w:line="240" w:lineRule="auto"/>
        <w:jc w:val="both"/>
        <w:rPr>
          <w:rFonts w:cstheme="minorHAnsi"/>
          <w:snapToGrid w:val="0"/>
        </w:rPr>
      </w:pPr>
    </w:p>
    <w:p w14:paraId="137936D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 xml:space="preserve">Como se puede apreciar, los indicadores se encuentran en los rangos de, desde </w:t>
      </w:r>
      <w:r w:rsidRPr="0070530E">
        <w:rPr>
          <w:rFonts w:cstheme="minorHAnsi"/>
          <w:lang w:eastAsia="es-CO"/>
        </w:rPr>
        <w:t>49,41%</w:t>
      </w:r>
      <w:r w:rsidRPr="0070530E">
        <w:rPr>
          <w:rFonts w:cstheme="minorHAnsi"/>
          <w:snapToGrid w:val="0"/>
        </w:rPr>
        <w:t xml:space="preserve"> hasta </w:t>
      </w:r>
      <w:r w:rsidRPr="0070530E">
        <w:rPr>
          <w:rFonts w:cstheme="minorHAnsi"/>
          <w:lang w:eastAsia="es-CO"/>
        </w:rPr>
        <w:t>94.21%</w:t>
      </w:r>
      <w:r w:rsidRPr="0070530E">
        <w:rPr>
          <w:rFonts w:cstheme="minorHAnsi"/>
          <w:snapToGrid w:val="0"/>
        </w:rPr>
        <w:t>, esto producto de la aplicación de las reservas técnicas que deben constituir por disposición legal y las cuales son aplicables contablemente como pasivo.</w:t>
      </w:r>
    </w:p>
    <w:p w14:paraId="2C3AC03C" w14:textId="77777777" w:rsidR="00C842FA" w:rsidRPr="0070530E" w:rsidRDefault="00C842FA" w:rsidP="0070530E">
      <w:pPr>
        <w:autoSpaceDE w:val="0"/>
        <w:autoSpaceDN w:val="0"/>
        <w:spacing w:after="0" w:line="240" w:lineRule="auto"/>
        <w:jc w:val="both"/>
        <w:rPr>
          <w:rFonts w:cstheme="minorHAnsi"/>
          <w:snapToGrid w:val="0"/>
        </w:rPr>
      </w:pPr>
    </w:p>
    <w:p w14:paraId="64ED929D"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 xml:space="preserve">Es importante resaltar, que las aseguradoras, se encuentran bajo el control y vigilancia de la Superintendencia Financiera y en cumplimiento de la regulación establecida, deben constituir y cumplir con el régimen de reservas técnicas mínimas para poder operar en Colombia. </w:t>
      </w:r>
    </w:p>
    <w:p w14:paraId="091E828E" w14:textId="77777777" w:rsidR="00C842FA" w:rsidRPr="0070530E" w:rsidRDefault="00C842FA" w:rsidP="0070530E">
      <w:pPr>
        <w:spacing w:after="0" w:line="240" w:lineRule="auto"/>
        <w:ind w:left="142"/>
        <w:jc w:val="both"/>
        <w:rPr>
          <w:rFonts w:cstheme="minorHAnsi"/>
          <w:i/>
          <w:snapToGrid w:val="0"/>
        </w:rPr>
      </w:pPr>
    </w:p>
    <w:p w14:paraId="72833C2D" w14:textId="77777777" w:rsidR="00C842FA" w:rsidRPr="0070530E" w:rsidRDefault="00C842FA" w:rsidP="0070530E">
      <w:pPr>
        <w:spacing w:after="0" w:line="240" w:lineRule="auto"/>
        <w:ind w:left="708"/>
        <w:jc w:val="both"/>
        <w:rPr>
          <w:rFonts w:cstheme="minorHAnsi"/>
          <w:i/>
          <w:snapToGrid w:val="0"/>
        </w:rPr>
      </w:pPr>
      <w:r w:rsidRPr="0070530E">
        <w:rPr>
          <w:rFonts w:cstheme="minorHAnsi"/>
          <w:i/>
          <w:snapToGrid w:val="0"/>
        </w:rPr>
        <w:t xml:space="preserve">Se destaca sobre este particular, que tal como lo refiere FASECOLDA en su artículo de “El régimen de reservas técnicas en Colombia”, las reservas técnicas son los recursos que destina una compañía de seguros para respaldar las obligaciones que ha contraído con sus asegurados y este régimen de reservas técnicas es un conjunto de normas prudenciales establecidas como regulación establecida con el propósito de fijar directrices a seguir por las aseguradoras, para estimar adecuadamente dichas obligaciones. </w:t>
      </w:r>
    </w:p>
    <w:p w14:paraId="2FA88C33" w14:textId="77777777" w:rsidR="00C842FA" w:rsidRPr="0070530E" w:rsidRDefault="00C842FA" w:rsidP="0070530E">
      <w:pPr>
        <w:spacing w:after="0" w:line="240" w:lineRule="auto"/>
        <w:ind w:left="142"/>
        <w:jc w:val="both"/>
        <w:rPr>
          <w:rFonts w:cstheme="minorHAnsi"/>
          <w:i/>
          <w:snapToGrid w:val="0"/>
        </w:rPr>
      </w:pPr>
    </w:p>
    <w:p w14:paraId="7017521F" w14:textId="77777777" w:rsidR="00C842FA" w:rsidRPr="0070530E" w:rsidRDefault="00C842FA" w:rsidP="0070530E">
      <w:pPr>
        <w:spacing w:after="0" w:line="240" w:lineRule="auto"/>
        <w:ind w:left="708"/>
        <w:jc w:val="both"/>
        <w:rPr>
          <w:rFonts w:cstheme="minorHAnsi"/>
          <w:i/>
          <w:snapToGrid w:val="0"/>
        </w:rPr>
      </w:pPr>
      <w:r w:rsidRPr="0070530E">
        <w:rPr>
          <w:rFonts w:cstheme="minorHAnsi"/>
          <w:i/>
          <w:snapToGrid w:val="0"/>
        </w:rPr>
        <w:t xml:space="preserve">Las compañías de seguros deben identificar y cuantificar cuales son las obligaciones derivadas de los contratos de seguros que suscriben y deben asignar las partidas necesarias para garantizar el pago </w:t>
      </w:r>
      <w:r w:rsidRPr="0070530E">
        <w:rPr>
          <w:rFonts w:cstheme="minorHAnsi"/>
          <w:b/>
          <w:i/>
          <w:snapToGrid w:val="0"/>
          <w:u w:val="single"/>
        </w:rPr>
        <w:t>o reconocimiento futuro de esas obligaciones</w:t>
      </w:r>
      <w:r w:rsidRPr="0070530E">
        <w:rPr>
          <w:rFonts w:cstheme="minorHAnsi"/>
          <w:i/>
          <w:snapToGrid w:val="0"/>
        </w:rPr>
        <w:t xml:space="preserve">. Desde </w:t>
      </w:r>
      <w:r w:rsidRPr="0070530E">
        <w:rPr>
          <w:rFonts w:cstheme="minorHAnsi"/>
          <w:i/>
          <w:snapToGrid w:val="0"/>
        </w:rPr>
        <w:lastRenderedPageBreak/>
        <w:t>el punto de vista contable, las</w:t>
      </w:r>
      <w:r w:rsidRPr="0070530E">
        <w:rPr>
          <w:rFonts w:eastAsia="Calibri" w:cstheme="minorHAnsi"/>
          <w:i/>
        </w:rPr>
        <w:t xml:space="preserve"> </w:t>
      </w:r>
      <w:r w:rsidRPr="0070530E">
        <w:rPr>
          <w:rFonts w:cstheme="minorHAnsi"/>
          <w:i/>
          <w:snapToGrid w:val="0"/>
        </w:rPr>
        <w:t>reservas técnicas representan el compromiso que mantiene la aseguradora hacia su masa de asegurados.</w:t>
      </w:r>
    </w:p>
    <w:p w14:paraId="49B6680C" w14:textId="77777777" w:rsidR="00C842FA" w:rsidRPr="0070530E" w:rsidRDefault="00C842FA" w:rsidP="0070530E">
      <w:pPr>
        <w:autoSpaceDE w:val="0"/>
        <w:autoSpaceDN w:val="0"/>
        <w:spacing w:after="0" w:line="240" w:lineRule="auto"/>
        <w:ind w:left="142"/>
        <w:jc w:val="both"/>
        <w:rPr>
          <w:rFonts w:cstheme="minorHAnsi"/>
          <w:i/>
          <w:snapToGrid w:val="0"/>
        </w:rPr>
      </w:pPr>
    </w:p>
    <w:p w14:paraId="75C266B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Las normas emitidas por la mayoría de los reguladores en distintos países buscan que el nivel de recursos disponibles por los operadores les permita cumplir con sus obligaciones de corto y largo plazo con independencia de los recaudos futuros. A continuación, se presenta un breve resumen de los principales tipos de reservas:</w:t>
      </w:r>
    </w:p>
    <w:p w14:paraId="3DEAF922" w14:textId="77777777" w:rsidR="00C842FA" w:rsidRPr="0070530E" w:rsidRDefault="00C842FA" w:rsidP="0070530E">
      <w:pPr>
        <w:spacing w:after="0" w:line="240" w:lineRule="auto"/>
        <w:ind w:left="142"/>
        <w:jc w:val="both"/>
        <w:rPr>
          <w:rFonts w:cstheme="minorHAnsi"/>
          <w:b/>
          <w:i/>
          <w:snapToGrid w:val="0"/>
        </w:rPr>
      </w:pPr>
    </w:p>
    <w:p w14:paraId="7A645CFF" w14:textId="77777777" w:rsidR="00C842FA" w:rsidRPr="0070530E" w:rsidRDefault="00C842FA" w:rsidP="0070530E">
      <w:pPr>
        <w:spacing w:after="0" w:line="240" w:lineRule="auto"/>
        <w:ind w:left="142" w:firstLine="566"/>
        <w:jc w:val="both"/>
        <w:rPr>
          <w:rFonts w:cstheme="minorHAnsi"/>
          <w:b/>
          <w:i/>
          <w:snapToGrid w:val="0"/>
          <w:u w:val="single"/>
        </w:rPr>
      </w:pPr>
      <w:r w:rsidRPr="0070530E">
        <w:rPr>
          <w:rFonts w:cstheme="minorHAnsi"/>
          <w:b/>
          <w:i/>
          <w:snapToGrid w:val="0"/>
          <w:u w:val="single"/>
        </w:rPr>
        <w:t>Reservas de primas</w:t>
      </w:r>
    </w:p>
    <w:p w14:paraId="7750A60F" w14:textId="77777777" w:rsidR="00C842FA" w:rsidRPr="0070530E" w:rsidRDefault="00C842FA" w:rsidP="0070530E">
      <w:pPr>
        <w:autoSpaceDE w:val="0"/>
        <w:autoSpaceDN w:val="0"/>
        <w:spacing w:after="0" w:line="240" w:lineRule="auto"/>
        <w:ind w:left="142"/>
        <w:jc w:val="both"/>
        <w:rPr>
          <w:rFonts w:cstheme="minorHAnsi"/>
          <w:i/>
          <w:snapToGrid w:val="0"/>
        </w:rPr>
      </w:pPr>
    </w:p>
    <w:p w14:paraId="6BFF7E5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Corresponden a la porción de la prima que, a la fecha de cálculo, no ha sido ganada por el asegurador. Dentro de este grupo de reservas, la más difundida es la Reserva de Prima no Devengada (</w:t>
      </w:r>
      <w:proofErr w:type="spellStart"/>
      <w:r w:rsidRPr="0070530E">
        <w:rPr>
          <w:rFonts w:cstheme="minorHAnsi"/>
          <w:i/>
          <w:snapToGrid w:val="0"/>
        </w:rPr>
        <w:t>Unearned</w:t>
      </w:r>
      <w:proofErr w:type="spellEnd"/>
      <w:r w:rsidRPr="0070530E">
        <w:rPr>
          <w:rFonts w:cstheme="minorHAnsi"/>
          <w:i/>
          <w:snapToGrid w:val="0"/>
        </w:rPr>
        <w:t xml:space="preserve"> Premium Reserve, UPR).</w:t>
      </w:r>
    </w:p>
    <w:p w14:paraId="439FABCC" w14:textId="77777777" w:rsidR="00C842FA" w:rsidRPr="0070530E" w:rsidRDefault="00C842FA" w:rsidP="0070530E">
      <w:pPr>
        <w:autoSpaceDE w:val="0"/>
        <w:autoSpaceDN w:val="0"/>
        <w:spacing w:after="0" w:line="240" w:lineRule="auto"/>
        <w:ind w:left="142"/>
        <w:jc w:val="both"/>
        <w:rPr>
          <w:rFonts w:cstheme="minorHAnsi"/>
          <w:i/>
          <w:snapToGrid w:val="0"/>
        </w:rPr>
      </w:pPr>
    </w:p>
    <w:p w14:paraId="5F8E8E3E"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Esta reserva tiene como finalidad distribuir el ingreso de la compañía en función del periodo de tiempo en que estará expuesta al riesgo asegurado.</w:t>
      </w:r>
    </w:p>
    <w:p w14:paraId="7AF3D841" w14:textId="77777777" w:rsidR="00C842FA" w:rsidRPr="0070530E" w:rsidRDefault="00C842FA" w:rsidP="0070530E">
      <w:pPr>
        <w:autoSpaceDE w:val="0"/>
        <w:autoSpaceDN w:val="0"/>
        <w:spacing w:after="0" w:line="240" w:lineRule="auto"/>
        <w:ind w:left="708"/>
        <w:jc w:val="both"/>
        <w:rPr>
          <w:rFonts w:cstheme="minorHAnsi"/>
          <w:i/>
          <w:snapToGrid w:val="0"/>
        </w:rPr>
      </w:pPr>
    </w:p>
    <w:p w14:paraId="77BC3FDA"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De esta manera se ajusta el resultado de la aseguradora al asignar la utilidad al periodo en el que se ganó la prima, independientemente de cuando fue emitida. La prima ganada se determina tomando la cuantía de la prima emitida descontándole los saldos de la Reserva de Prima No Devengada de comienzo y fin de ejercicio.</w:t>
      </w:r>
    </w:p>
    <w:p w14:paraId="0BEA9359" w14:textId="77777777" w:rsidR="00C842FA" w:rsidRPr="0070530E" w:rsidRDefault="00C842FA" w:rsidP="0070530E">
      <w:pPr>
        <w:autoSpaceDE w:val="0"/>
        <w:autoSpaceDN w:val="0"/>
        <w:spacing w:after="0" w:line="240" w:lineRule="auto"/>
        <w:ind w:left="142"/>
        <w:jc w:val="both"/>
        <w:rPr>
          <w:rFonts w:cstheme="minorHAnsi"/>
          <w:i/>
          <w:snapToGrid w:val="0"/>
        </w:rPr>
      </w:pPr>
    </w:p>
    <w:p w14:paraId="4123684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 xml:space="preserve">Desde el punto de vista del cálculo, existen distintas metodologías para realizarlo, pero siempre buscan estimar la proporción de prima aun no ganada por el hecho de que el riesgo cubierto sigue corriendo. </w:t>
      </w:r>
    </w:p>
    <w:p w14:paraId="0663D59E" w14:textId="77777777" w:rsidR="00C842FA" w:rsidRPr="0070530E" w:rsidRDefault="00C842FA" w:rsidP="0070530E">
      <w:pPr>
        <w:autoSpaceDE w:val="0"/>
        <w:autoSpaceDN w:val="0"/>
        <w:spacing w:after="0" w:line="240" w:lineRule="auto"/>
        <w:ind w:left="708"/>
        <w:jc w:val="both"/>
        <w:rPr>
          <w:rFonts w:cstheme="minorHAnsi"/>
          <w:i/>
          <w:snapToGrid w:val="0"/>
        </w:rPr>
      </w:pPr>
    </w:p>
    <w:p w14:paraId="3F06CADE"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Conceptualmente se trata de un “compromiso técnico” y no de un pasivo con una contraparte definida, por lo que no es relevante en este caso si el asegurado tiene derecho a cancelar el contrato y reclamar la prima correspondiente.</w:t>
      </w:r>
    </w:p>
    <w:p w14:paraId="02A17088" w14:textId="77777777" w:rsidR="00C842FA" w:rsidRPr="0070530E" w:rsidRDefault="00C842FA" w:rsidP="0070530E">
      <w:pPr>
        <w:autoSpaceDE w:val="0"/>
        <w:autoSpaceDN w:val="0"/>
        <w:spacing w:after="0" w:line="240" w:lineRule="auto"/>
        <w:ind w:left="708"/>
        <w:jc w:val="both"/>
        <w:rPr>
          <w:rFonts w:cstheme="minorHAnsi"/>
          <w:i/>
          <w:snapToGrid w:val="0"/>
        </w:rPr>
      </w:pPr>
    </w:p>
    <w:p w14:paraId="0666C8A2"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En muchos productos es válido asumir que el riesgo, y, consecuentemente, la prima, se distribuyen uniformemente a lo largo del periodo de cobertura.</w:t>
      </w:r>
    </w:p>
    <w:p w14:paraId="302B9D50" w14:textId="77777777" w:rsidR="00C842FA" w:rsidRPr="0070530E" w:rsidRDefault="00C842FA" w:rsidP="0070530E">
      <w:pPr>
        <w:autoSpaceDE w:val="0"/>
        <w:autoSpaceDN w:val="0"/>
        <w:spacing w:after="0" w:line="240" w:lineRule="auto"/>
        <w:ind w:left="708"/>
        <w:jc w:val="both"/>
        <w:rPr>
          <w:rFonts w:cstheme="minorHAnsi"/>
          <w:i/>
          <w:snapToGrid w:val="0"/>
        </w:rPr>
      </w:pPr>
    </w:p>
    <w:p w14:paraId="143EC1D9"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 xml:space="preserve">En estos casos, se utiliza el método “póliza a póliza”, en el que se aplica una prorrata por los días de cobertura pendientes sobre los días totales. </w:t>
      </w:r>
    </w:p>
    <w:p w14:paraId="469F6A7A" w14:textId="77777777" w:rsidR="00C842FA" w:rsidRPr="0070530E" w:rsidRDefault="00C842FA" w:rsidP="0070530E">
      <w:pPr>
        <w:autoSpaceDE w:val="0"/>
        <w:autoSpaceDN w:val="0"/>
        <w:spacing w:after="0" w:line="240" w:lineRule="auto"/>
        <w:ind w:left="708"/>
        <w:jc w:val="both"/>
        <w:rPr>
          <w:rFonts w:cstheme="minorHAnsi"/>
          <w:i/>
          <w:snapToGrid w:val="0"/>
        </w:rPr>
      </w:pPr>
    </w:p>
    <w:p w14:paraId="6CC494D6"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También son válidos los métodos de octavos o de “</w:t>
      </w:r>
      <w:proofErr w:type="gramStart"/>
      <w:r w:rsidRPr="0070530E">
        <w:rPr>
          <w:rFonts w:cstheme="minorHAnsi"/>
          <w:i/>
          <w:snapToGrid w:val="0"/>
        </w:rPr>
        <w:t>veinticuatro-avos</w:t>
      </w:r>
      <w:proofErr w:type="gramEnd"/>
      <w:r w:rsidRPr="0070530E">
        <w:rPr>
          <w:rFonts w:cstheme="minorHAnsi"/>
          <w:i/>
          <w:snapToGrid w:val="0"/>
        </w:rPr>
        <w:t>”, cuya filosofía es idéntica, pero que trabajan sobre conceptos agregados y bajo el supuesto simplificador de que la prima recaudada se emite a mitad del periodo que se considere.</w:t>
      </w:r>
    </w:p>
    <w:p w14:paraId="4C8EB50D" w14:textId="77777777" w:rsidR="00C842FA" w:rsidRPr="0070530E" w:rsidRDefault="00C842FA" w:rsidP="0070530E">
      <w:pPr>
        <w:autoSpaceDE w:val="0"/>
        <w:autoSpaceDN w:val="0"/>
        <w:spacing w:after="0" w:line="240" w:lineRule="auto"/>
        <w:ind w:left="708"/>
        <w:jc w:val="both"/>
        <w:rPr>
          <w:rFonts w:cstheme="minorHAnsi"/>
          <w:i/>
          <w:snapToGrid w:val="0"/>
        </w:rPr>
      </w:pPr>
    </w:p>
    <w:p w14:paraId="19C48F5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 normativa de distintos países permite tomar una fracción de la prima (por ejemplo, 80%) como base de cálculo para esta reserva. Ello implica reconocer que una porción de la prima se devenga en forma inmediata al momento de la emisión.</w:t>
      </w:r>
    </w:p>
    <w:p w14:paraId="24BC9BE2" w14:textId="77777777" w:rsidR="00C842FA" w:rsidRPr="0070530E" w:rsidRDefault="00C842FA" w:rsidP="0070530E">
      <w:pPr>
        <w:autoSpaceDE w:val="0"/>
        <w:autoSpaceDN w:val="0"/>
        <w:spacing w:after="0" w:line="240" w:lineRule="auto"/>
        <w:ind w:left="708"/>
        <w:jc w:val="both"/>
        <w:rPr>
          <w:rFonts w:cstheme="minorHAnsi"/>
          <w:b/>
          <w:i/>
          <w:snapToGrid w:val="0"/>
        </w:rPr>
      </w:pPr>
    </w:p>
    <w:p w14:paraId="72B4F04F" w14:textId="77777777" w:rsidR="00C842FA" w:rsidRPr="0070530E" w:rsidRDefault="00C842FA" w:rsidP="0070530E">
      <w:pPr>
        <w:autoSpaceDE w:val="0"/>
        <w:autoSpaceDN w:val="0"/>
        <w:spacing w:after="0" w:line="240" w:lineRule="auto"/>
        <w:ind w:left="142" w:firstLine="566"/>
        <w:jc w:val="both"/>
        <w:rPr>
          <w:rFonts w:cstheme="minorHAnsi"/>
          <w:b/>
          <w:i/>
          <w:snapToGrid w:val="0"/>
          <w:u w:val="single"/>
        </w:rPr>
      </w:pPr>
      <w:r w:rsidRPr="0070530E">
        <w:rPr>
          <w:rFonts w:cstheme="minorHAnsi"/>
          <w:b/>
          <w:i/>
          <w:snapToGrid w:val="0"/>
          <w:u w:val="single"/>
        </w:rPr>
        <w:t xml:space="preserve">Reservas de siniestros. </w:t>
      </w:r>
    </w:p>
    <w:p w14:paraId="22740448" w14:textId="77777777" w:rsidR="00C842FA" w:rsidRPr="0070530E" w:rsidRDefault="00C842FA" w:rsidP="0070530E">
      <w:pPr>
        <w:autoSpaceDE w:val="0"/>
        <w:autoSpaceDN w:val="0"/>
        <w:spacing w:after="0" w:line="240" w:lineRule="auto"/>
        <w:ind w:left="142"/>
        <w:jc w:val="both"/>
        <w:rPr>
          <w:rFonts w:cstheme="minorHAnsi"/>
          <w:i/>
          <w:snapToGrid w:val="0"/>
        </w:rPr>
      </w:pPr>
    </w:p>
    <w:p w14:paraId="57D5021D"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Las reservas de siniestros son un pasivo constituido para reflejar el costo estimado de siniestros que han ocurrido y no han sido pagados. Bajo este concepto se incluyen las Reservas de Siniestros Avisados y las Reservas de Siniestros no Avisados.</w:t>
      </w:r>
    </w:p>
    <w:p w14:paraId="21BF0913" w14:textId="77777777" w:rsidR="00C842FA" w:rsidRPr="0070530E" w:rsidRDefault="00C842FA" w:rsidP="0070530E">
      <w:pPr>
        <w:autoSpaceDE w:val="0"/>
        <w:autoSpaceDN w:val="0"/>
        <w:spacing w:after="0" w:line="240" w:lineRule="auto"/>
        <w:ind w:left="142"/>
        <w:jc w:val="both"/>
        <w:rPr>
          <w:rFonts w:cstheme="minorHAnsi"/>
          <w:i/>
          <w:snapToGrid w:val="0"/>
        </w:rPr>
      </w:pPr>
    </w:p>
    <w:p w14:paraId="38CBDF04" w14:textId="77777777" w:rsidR="00C842FA" w:rsidRPr="0070530E" w:rsidRDefault="00C842FA" w:rsidP="0070530E">
      <w:pPr>
        <w:autoSpaceDE w:val="0"/>
        <w:autoSpaceDN w:val="0"/>
        <w:spacing w:after="0" w:line="240" w:lineRule="auto"/>
        <w:ind w:left="708"/>
        <w:jc w:val="both"/>
        <w:rPr>
          <w:rFonts w:cstheme="minorHAnsi"/>
          <w:i/>
          <w:snapToGrid w:val="0"/>
        </w:rPr>
      </w:pPr>
      <w:r w:rsidRPr="0070530E">
        <w:rPr>
          <w:rFonts w:cstheme="minorHAnsi"/>
          <w:i/>
          <w:snapToGrid w:val="0"/>
        </w:rPr>
        <w:t>Desde el momento en que se conoce un siniestro y hasta que se efectúa su pago, la aseguradora va obteniendo información adicional que le permite mejorar su conocimiento y evaluación de la perdida. Este hecho, sumado a que la exigibilidad de la indemnización se perfecciona contra entrega de cierta documentación por parte del asegurado, ha determinado que, en algunos países, las reservas de siniestros pendientes se clasifiquen en siniestros avisados con información insuficiente, siniestros avisados en proceso de liquidación y siniestros liquidados pendientes de pago. En los tres casos es posible establecer una asignación directa entre el siniestro y la póliza a la que corresponde. Cuanto mayor sea el grado de información disponible (cantidad y más se aproximará la reserva al monto a pagar.</w:t>
      </w:r>
    </w:p>
    <w:p w14:paraId="00377061" w14:textId="77777777" w:rsidR="00C842FA" w:rsidRPr="0070530E" w:rsidRDefault="00C842FA" w:rsidP="0070530E">
      <w:pPr>
        <w:autoSpaceDE w:val="0"/>
        <w:autoSpaceDN w:val="0"/>
        <w:spacing w:after="0" w:line="240" w:lineRule="auto"/>
        <w:ind w:left="708"/>
        <w:jc w:val="both"/>
        <w:rPr>
          <w:rFonts w:cstheme="minorHAnsi"/>
          <w:i/>
          <w:snapToGrid w:val="0"/>
          <w:u w:val="single"/>
        </w:rPr>
      </w:pPr>
    </w:p>
    <w:p w14:paraId="69DED722" w14:textId="6912FE99" w:rsidR="00C842FA" w:rsidRDefault="00C842FA" w:rsidP="0070530E">
      <w:pPr>
        <w:autoSpaceDE w:val="0"/>
        <w:autoSpaceDN w:val="0"/>
        <w:spacing w:after="0" w:line="240" w:lineRule="auto"/>
        <w:ind w:left="708"/>
        <w:jc w:val="both"/>
        <w:rPr>
          <w:rFonts w:cstheme="minorHAnsi"/>
          <w:iCs/>
          <w:snapToGrid w:val="0"/>
        </w:rPr>
      </w:pPr>
      <w:r w:rsidRPr="0070530E">
        <w:rPr>
          <w:rFonts w:cstheme="minorHAnsi"/>
          <w:i/>
          <w:snapToGrid w:val="0"/>
          <w:u w:val="single"/>
        </w:rPr>
        <w:t>Las Reservas de Siniestros Ocurridos no Avisados</w:t>
      </w:r>
      <w:r w:rsidRPr="0070530E">
        <w:rPr>
          <w:rFonts w:cstheme="minorHAnsi"/>
          <w:i/>
          <w:snapToGrid w:val="0"/>
        </w:rPr>
        <w:t xml:space="preserve"> (</w:t>
      </w:r>
      <w:proofErr w:type="spellStart"/>
      <w:r w:rsidRPr="0070530E">
        <w:rPr>
          <w:rFonts w:cstheme="minorHAnsi"/>
          <w:i/>
          <w:snapToGrid w:val="0"/>
        </w:rPr>
        <w:t>Incurred</w:t>
      </w:r>
      <w:proofErr w:type="spellEnd"/>
      <w:r w:rsidRPr="0070530E">
        <w:rPr>
          <w:rFonts w:cstheme="minorHAnsi"/>
          <w:i/>
          <w:snapToGrid w:val="0"/>
        </w:rPr>
        <w:t xml:space="preserve"> </w:t>
      </w:r>
      <w:proofErr w:type="spellStart"/>
      <w:r w:rsidRPr="0070530E">
        <w:rPr>
          <w:rFonts w:cstheme="minorHAnsi"/>
          <w:i/>
          <w:snapToGrid w:val="0"/>
        </w:rPr>
        <w:t>But</w:t>
      </w:r>
      <w:proofErr w:type="spellEnd"/>
      <w:r w:rsidRPr="0070530E">
        <w:rPr>
          <w:rFonts w:cstheme="minorHAnsi"/>
          <w:i/>
          <w:snapToGrid w:val="0"/>
        </w:rPr>
        <w:t xml:space="preserve"> </w:t>
      </w:r>
      <w:proofErr w:type="spellStart"/>
      <w:r w:rsidRPr="0070530E">
        <w:rPr>
          <w:rFonts w:cstheme="minorHAnsi"/>
          <w:i/>
          <w:snapToGrid w:val="0"/>
        </w:rPr>
        <w:t>Not</w:t>
      </w:r>
      <w:proofErr w:type="spellEnd"/>
      <w:r w:rsidRPr="0070530E">
        <w:rPr>
          <w:rFonts w:cstheme="minorHAnsi"/>
          <w:i/>
          <w:snapToGrid w:val="0"/>
        </w:rPr>
        <w:t xml:space="preserve"> </w:t>
      </w:r>
      <w:proofErr w:type="spellStart"/>
      <w:r w:rsidRPr="0070530E">
        <w:rPr>
          <w:rFonts w:cstheme="minorHAnsi"/>
          <w:i/>
          <w:snapToGrid w:val="0"/>
        </w:rPr>
        <w:t>Reported</w:t>
      </w:r>
      <w:proofErr w:type="spellEnd"/>
      <w:r w:rsidRPr="0070530E">
        <w:rPr>
          <w:rFonts w:cstheme="minorHAnsi"/>
          <w:i/>
          <w:snapToGrid w:val="0"/>
        </w:rPr>
        <w:t xml:space="preserve">, IBNR) procuran estimar los siniestros que a una fecha dada ya </w:t>
      </w:r>
      <w:r w:rsidRPr="0070530E">
        <w:rPr>
          <w:rFonts w:cstheme="minorHAnsi"/>
          <w:i/>
          <w:snapToGrid w:val="0"/>
        </w:rPr>
        <w:tab/>
        <w:t>ocurrieron, pero no han sido informados a la aseguradora. Los registros contables deben tener en cuenta esta realidad, aun cuando el valor que se determine no pueda ser asignable en forma directa a un evento conocido. Para su estimación existen distintas metodologías. Basta agregar, por ahora, que el concepto de IBNR incluye muchas veces el de IBNER (</w:t>
      </w:r>
      <w:proofErr w:type="spellStart"/>
      <w:r w:rsidRPr="0070530E">
        <w:rPr>
          <w:rFonts w:cstheme="minorHAnsi"/>
          <w:i/>
          <w:snapToGrid w:val="0"/>
        </w:rPr>
        <w:t>Incurred</w:t>
      </w:r>
      <w:proofErr w:type="spellEnd"/>
      <w:r w:rsidRPr="0070530E">
        <w:rPr>
          <w:rFonts w:cstheme="minorHAnsi"/>
          <w:i/>
          <w:snapToGrid w:val="0"/>
        </w:rPr>
        <w:t xml:space="preserve"> </w:t>
      </w:r>
      <w:proofErr w:type="spellStart"/>
      <w:r w:rsidRPr="0070530E">
        <w:rPr>
          <w:rFonts w:cstheme="minorHAnsi"/>
          <w:i/>
          <w:snapToGrid w:val="0"/>
        </w:rPr>
        <w:t>But</w:t>
      </w:r>
      <w:proofErr w:type="spellEnd"/>
      <w:r w:rsidRPr="0070530E">
        <w:rPr>
          <w:rFonts w:cstheme="minorHAnsi"/>
          <w:i/>
          <w:snapToGrid w:val="0"/>
        </w:rPr>
        <w:t xml:space="preserve"> </w:t>
      </w:r>
      <w:proofErr w:type="spellStart"/>
      <w:r w:rsidRPr="0070530E">
        <w:rPr>
          <w:rFonts w:cstheme="minorHAnsi"/>
          <w:i/>
          <w:snapToGrid w:val="0"/>
        </w:rPr>
        <w:t>not</w:t>
      </w:r>
      <w:proofErr w:type="spellEnd"/>
      <w:r w:rsidRPr="0070530E">
        <w:rPr>
          <w:rFonts w:cstheme="minorHAnsi"/>
          <w:i/>
          <w:snapToGrid w:val="0"/>
        </w:rPr>
        <w:t xml:space="preserve"> </w:t>
      </w:r>
      <w:proofErr w:type="spellStart"/>
      <w:r w:rsidRPr="0070530E">
        <w:rPr>
          <w:rFonts w:cstheme="minorHAnsi"/>
          <w:i/>
          <w:snapToGrid w:val="0"/>
        </w:rPr>
        <w:t>Enough</w:t>
      </w:r>
      <w:proofErr w:type="spellEnd"/>
      <w:r w:rsidRPr="0070530E">
        <w:rPr>
          <w:rFonts w:cstheme="minorHAnsi"/>
          <w:i/>
          <w:snapToGrid w:val="0"/>
        </w:rPr>
        <w:t xml:space="preserve"> </w:t>
      </w:r>
      <w:proofErr w:type="spellStart"/>
      <w:r w:rsidRPr="0070530E">
        <w:rPr>
          <w:rFonts w:cstheme="minorHAnsi"/>
          <w:i/>
          <w:snapToGrid w:val="0"/>
        </w:rPr>
        <w:t>Reported</w:t>
      </w:r>
      <w:proofErr w:type="spellEnd"/>
      <w:r w:rsidRPr="0070530E">
        <w:rPr>
          <w:rFonts w:cstheme="minorHAnsi"/>
          <w:i/>
          <w:snapToGrid w:val="0"/>
        </w:rPr>
        <w:t>) y corresponde a siniestros conocidos a los que, por falta de información adecuada, se les ha estimado una reserva por montos incorrectos.</w:t>
      </w:r>
    </w:p>
    <w:p w14:paraId="43E61176" w14:textId="77777777" w:rsidR="00CF250B" w:rsidRPr="00CF250B" w:rsidRDefault="00CF250B" w:rsidP="0070530E">
      <w:pPr>
        <w:autoSpaceDE w:val="0"/>
        <w:autoSpaceDN w:val="0"/>
        <w:spacing w:after="0" w:line="240" w:lineRule="auto"/>
        <w:ind w:left="708"/>
        <w:jc w:val="both"/>
        <w:rPr>
          <w:rFonts w:cstheme="minorHAnsi"/>
          <w:iCs/>
          <w:snapToGrid w:val="0"/>
        </w:rPr>
      </w:pPr>
    </w:p>
    <w:p w14:paraId="24F01F67" w14:textId="5446ED74"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t>Análisis de indicador de razón de cobertura de intereses</w:t>
      </w:r>
    </w:p>
    <w:p w14:paraId="2AF1716F" w14:textId="77777777" w:rsidR="00C842FA" w:rsidRPr="0070530E" w:rsidRDefault="00C842FA" w:rsidP="0070530E">
      <w:pPr>
        <w:autoSpaceDE w:val="0"/>
        <w:autoSpaceDN w:val="0"/>
        <w:spacing w:after="0" w:line="240" w:lineRule="auto"/>
        <w:jc w:val="both"/>
        <w:rPr>
          <w:rFonts w:cstheme="minorHAnsi"/>
          <w:snapToGrid w:val="0"/>
        </w:rPr>
      </w:pPr>
      <w:r w:rsidRPr="0070530E">
        <w:rPr>
          <w:rFonts w:cstheme="minorHAnsi"/>
          <w:snapToGrid w:val="0"/>
        </w:rPr>
        <w:t>Como en los anteriores indicadores, se adelantó el análisis de los indicadores de que registran las aseguradoras que participan en los procesos de contratación estatal, muestra en la que este es el siguiente resultado para Compañías que cuentan con los ramos generales:</w:t>
      </w:r>
    </w:p>
    <w:p w14:paraId="0B997FF3" w14:textId="77777777" w:rsidR="00C842FA" w:rsidRPr="0070530E" w:rsidRDefault="00C842FA" w:rsidP="0070530E">
      <w:pPr>
        <w:autoSpaceDE w:val="0"/>
        <w:autoSpaceDN w:val="0"/>
        <w:spacing w:after="0" w:line="240" w:lineRule="auto"/>
        <w:jc w:val="both"/>
        <w:rPr>
          <w:rFonts w:cstheme="minorHAnsi"/>
          <w:snapToGrid w:val="0"/>
        </w:rPr>
      </w:pPr>
    </w:p>
    <w:tbl>
      <w:tblPr>
        <w:tblW w:w="5000" w:type="pct"/>
        <w:jc w:val="center"/>
        <w:tblLayout w:type="fixed"/>
        <w:tblCellMar>
          <w:left w:w="70" w:type="dxa"/>
          <w:right w:w="70" w:type="dxa"/>
        </w:tblCellMar>
        <w:tblLook w:val="04A0" w:firstRow="1" w:lastRow="0" w:firstColumn="1" w:lastColumn="0" w:noHBand="0" w:noVBand="1"/>
      </w:tblPr>
      <w:tblGrid>
        <w:gridCol w:w="2972"/>
        <w:gridCol w:w="1986"/>
        <w:gridCol w:w="1841"/>
        <w:gridCol w:w="1695"/>
      </w:tblGrid>
      <w:tr w:rsidR="00C842FA" w:rsidRPr="00161E04" w14:paraId="7349307A" w14:textId="77777777" w:rsidTr="00161E04">
        <w:trPr>
          <w:trHeight w:val="250"/>
          <w:jc w:val="center"/>
        </w:trPr>
        <w:tc>
          <w:tcPr>
            <w:tcW w:w="1749"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1ACE51D7"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ASEGURADORA</w:t>
            </w:r>
          </w:p>
        </w:tc>
        <w:tc>
          <w:tcPr>
            <w:tcW w:w="3251" w:type="pct"/>
            <w:gridSpan w:val="3"/>
            <w:tcBorders>
              <w:top w:val="single" w:sz="4" w:space="0" w:color="2F75B5"/>
              <w:left w:val="nil"/>
              <w:bottom w:val="single" w:sz="4" w:space="0" w:color="2F75B5"/>
              <w:right w:val="single" w:sz="4" w:space="0" w:color="2F75B5"/>
            </w:tcBorders>
            <w:shd w:val="clear" w:color="auto" w:fill="FF0000"/>
            <w:vAlign w:val="center"/>
            <w:hideMark/>
          </w:tcPr>
          <w:p w14:paraId="7826604C"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RAZÓN DE COBERTURA DE INTERESES</w:t>
            </w:r>
          </w:p>
        </w:tc>
      </w:tr>
      <w:tr w:rsidR="00C842FA" w:rsidRPr="00161E04" w14:paraId="603A3647" w14:textId="77777777" w:rsidTr="00161E04">
        <w:trPr>
          <w:trHeight w:val="260"/>
          <w:jc w:val="center"/>
        </w:trPr>
        <w:tc>
          <w:tcPr>
            <w:tcW w:w="1749"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9D5B5AD" w14:textId="77777777" w:rsidR="00C842FA" w:rsidRPr="007413C9" w:rsidRDefault="00C842FA" w:rsidP="0070530E">
            <w:pPr>
              <w:spacing w:after="0" w:line="240" w:lineRule="auto"/>
              <w:rPr>
                <w:rFonts w:cstheme="minorHAnsi"/>
                <w:b/>
                <w:bCs/>
                <w:color w:val="FFFFFF"/>
                <w:sz w:val="18"/>
                <w:szCs w:val="18"/>
                <w:lang w:eastAsia="es-CO"/>
              </w:rPr>
            </w:pPr>
          </w:p>
        </w:tc>
        <w:tc>
          <w:tcPr>
            <w:tcW w:w="1169" w:type="pct"/>
            <w:tcBorders>
              <w:top w:val="nil"/>
              <w:left w:val="nil"/>
              <w:bottom w:val="single" w:sz="4" w:space="0" w:color="2F75B5"/>
              <w:right w:val="single" w:sz="4" w:space="0" w:color="2F75B5"/>
            </w:tcBorders>
            <w:shd w:val="clear" w:color="auto" w:fill="FF0000"/>
            <w:vAlign w:val="center"/>
            <w:hideMark/>
          </w:tcPr>
          <w:p w14:paraId="76A78356"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2021</w:t>
            </w:r>
          </w:p>
        </w:tc>
        <w:tc>
          <w:tcPr>
            <w:tcW w:w="1084" w:type="pct"/>
            <w:tcBorders>
              <w:top w:val="nil"/>
              <w:left w:val="nil"/>
              <w:bottom w:val="single" w:sz="4" w:space="0" w:color="2F75B5"/>
              <w:right w:val="single" w:sz="4" w:space="0" w:color="2F75B5"/>
            </w:tcBorders>
            <w:shd w:val="clear" w:color="auto" w:fill="FF0000"/>
            <w:vAlign w:val="center"/>
            <w:hideMark/>
          </w:tcPr>
          <w:p w14:paraId="1366841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2020</w:t>
            </w:r>
          </w:p>
        </w:tc>
        <w:tc>
          <w:tcPr>
            <w:tcW w:w="998" w:type="pct"/>
            <w:tcBorders>
              <w:top w:val="nil"/>
              <w:left w:val="nil"/>
              <w:bottom w:val="single" w:sz="4" w:space="0" w:color="2F75B5"/>
              <w:right w:val="single" w:sz="4" w:space="0" w:color="2F75B5"/>
            </w:tcBorders>
            <w:shd w:val="clear" w:color="auto" w:fill="FF0000"/>
            <w:vAlign w:val="center"/>
            <w:hideMark/>
          </w:tcPr>
          <w:p w14:paraId="5EE70867"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2019</w:t>
            </w:r>
          </w:p>
        </w:tc>
      </w:tr>
      <w:tr w:rsidR="00C842FA" w:rsidRPr="00161E04" w14:paraId="5F0789D6" w14:textId="77777777" w:rsidTr="00161E04">
        <w:trPr>
          <w:trHeight w:val="142"/>
          <w:jc w:val="center"/>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119FC"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ALLIANZ</w:t>
            </w:r>
          </w:p>
        </w:tc>
        <w:tc>
          <w:tcPr>
            <w:tcW w:w="1169" w:type="pct"/>
            <w:tcBorders>
              <w:top w:val="single" w:sz="4" w:space="0" w:color="auto"/>
              <w:left w:val="nil"/>
              <w:bottom w:val="single" w:sz="4" w:space="0" w:color="auto"/>
              <w:right w:val="single" w:sz="4" w:space="0" w:color="auto"/>
            </w:tcBorders>
            <w:shd w:val="clear" w:color="auto" w:fill="auto"/>
            <w:noWrap/>
            <w:vAlign w:val="bottom"/>
            <w:hideMark/>
          </w:tcPr>
          <w:p w14:paraId="408EAA5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C2ABF7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14:paraId="4F00714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40E37052"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3F3FC20A"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AXA COLPATRIA</w:t>
            </w:r>
          </w:p>
        </w:tc>
        <w:tc>
          <w:tcPr>
            <w:tcW w:w="1169" w:type="pct"/>
            <w:tcBorders>
              <w:top w:val="nil"/>
              <w:left w:val="nil"/>
              <w:bottom w:val="single" w:sz="4" w:space="0" w:color="auto"/>
              <w:right w:val="single" w:sz="4" w:space="0" w:color="auto"/>
            </w:tcBorders>
            <w:shd w:val="clear" w:color="auto" w:fill="auto"/>
            <w:noWrap/>
            <w:vAlign w:val="bottom"/>
            <w:hideMark/>
          </w:tcPr>
          <w:p w14:paraId="0C03D7A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161,32</w:t>
            </w:r>
          </w:p>
        </w:tc>
        <w:tc>
          <w:tcPr>
            <w:tcW w:w="1084" w:type="pct"/>
            <w:tcBorders>
              <w:top w:val="nil"/>
              <w:left w:val="nil"/>
              <w:bottom w:val="single" w:sz="4" w:space="0" w:color="auto"/>
              <w:right w:val="single" w:sz="4" w:space="0" w:color="auto"/>
            </w:tcBorders>
            <w:shd w:val="clear" w:color="auto" w:fill="auto"/>
            <w:noWrap/>
            <w:vAlign w:val="bottom"/>
            <w:hideMark/>
          </w:tcPr>
          <w:p w14:paraId="0A75936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451,11</w:t>
            </w:r>
          </w:p>
        </w:tc>
        <w:tc>
          <w:tcPr>
            <w:tcW w:w="998" w:type="pct"/>
            <w:tcBorders>
              <w:top w:val="nil"/>
              <w:left w:val="nil"/>
              <w:bottom w:val="single" w:sz="4" w:space="0" w:color="auto"/>
              <w:right w:val="single" w:sz="4" w:space="0" w:color="auto"/>
            </w:tcBorders>
            <w:shd w:val="clear" w:color="auto" w:fill="auto"/>
            <w:noWrap/>
            <w:vAlign w:val="bottom"/>
            <w:hideMark/>
          </w:tcPr>
          <w:p w14:paraId="5BA415C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161E04" w14:paraId="13D0F3FC"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7058C025"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CHUBB DE COLOMBIA</w:t>
            </w:r>
          </w:p>
        </w:tc>
        <w:tc>
          <w:tcPr>
            <w:tcW w:w="1169" w:type="pct"/>
            <w:tcBorders>
              <w:top w:val="nil"/>
              <w:left w:val="nil"/>
              <w:bottom w:val="single" w:sz="4" w:space="0" w:color="auto"/>
              <w:right w:val="single" w:sz="4" w:space="0" w:color="auto"/>
            </w:tcBorders>
            <w:shd w:val="clear" w:color="auto" w:fill="auto"/>
            <w:noWrap/>
            <w:vAlign w:val="bottom"/>
            <w:hideMark/>
          </w:tcPr>
          <w:p w14:paraId="17D03AC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39,72</w:t>
            </w:r>
          </w:p>
        </w:tc>
        <w:tc>
          <w:tcPr>
            <w:tcW w:w="1084" w:type="pct"/>
            <w:tcBorders>
              <w:top w:val="nil"/>
              <w:left w:val="nil"/>
              <w:bottom w:val="single" w:sz="4" w:space="0" w:color="auto"/>
              <w:right w:val="single" w:sz="4" w:space="0" w:color="auto"/>
            </w:tcBorders>
            <w:shd w:val="clear" w:color="auto" w:fill="auto"/>
            <w:noWrap/>
            <w:vAlign w:val="bottom"/>
            <w:hideMark/>
          </w:tcPr>
          <w:p w14:paraId="2A6C07D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59,24</w:t>
            </w:r>
          </w:p>
        </w:tc>
        <w:tc>
          <w:tcPr>
            <w:tcW w:w="998" w:type="pct"/>
            <w:tcBorders>
              <w:top w:val="nil"/>
              <w:left w:val="nil"/>
              <w:bottom w:val="single" w:sz="4" w:space="0" w:color="auto"/>
              <w:right w:val="single" w:sz="4" w:space="0" w:color="auto"/>
            </w:tcBorders>
            <w:shd w:val="clear" w:color="auto" w:fill="auto"/>
            <w:noWrap/>
            <w:vAlign w:val="bottom"/>
            <w:hideMark/>
          </w:tcPr>
          <w:p w14:paraId="0D7670C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6,79</w:t>
            </w:r>
          </w:p>
        </w:tc>
      </w:tr>
      <w:tr w:rsidR="00C842FA" w:rsidRPr="00161E04" w14:paraId="1BB3F088"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22CC9C9"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HDI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1B46098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-30,64</w:t>
            </w:r>
          </w:p>
        </w:tc>
        <w:tc>
          <w:tcPr>
            <w:tcW w:w="1084" w:type="pct"/>
            <w:tcBorders>
              <w:top w:val="nil"/>
              <w:left w:val="nil"/>
              <w:bottom w:val="single" w:sz="4" w:space="0" w:color="auto"/>
              <w:right w:val="single" w:sz="4" w:space="0" w:color="auto"/>
            </w:tcBorders>
            <w:shd w:val="clear" w:color="auto" w:fill="auto"/>
            <w:noWrap/>
            <w:vAlign w:val="bottom"/>
            <w:hideMark/>
          </w:tcPr>
          <w:p w14:paraId="68E91E6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2,31</w:t>
            </w:r>
          </w:p>
        </w:tc>
        <w:tc>
          <w:tcPr>
            <w:tcW w:w="998" w:type="pct"/>
            <w:tcBorders>
              <w:top w:val="nil"/>
              <w:left w:val="nil"/>
              <w:bottom w:val="single" w:sz="4" w:space="0" w:color="auto"/>
              <w:right w:val="single" w:sz="4" w:space="0" w:color="auto"/>
            </w:tcBorders>
            <w:shd w:val="clear" w:color="auto" w:fill="auto"/>
            <w:noWrap/>
            <w:vAlign w:val="bottom"/>
            <w:hideMark/>
          </w:tcPr>
          <w:p w14:paraId="5240D18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1,28</w:t>
            </w:r>
          </w:p>
        </w:tc>
      </w:tr>
      <w:tr w:rsidR="00C842FA" w:rsidRPr="00161E04" w14:paraId="6159143E"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611F50DE"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LIBERTY SEGUROS</w:t>
            </w:r>
          </w:p>
        </w:tc>
        <w:tc>
          <w:tcPr>
            <w:tcW w:w="1169" w:type="pct"/>
            <w:tcBorders>
              <w:top w:val="nil"/>
              <w:left w:val="nil"/>
              <w:bottom w:val="single" w:sz="4" w:space="0" w:color="auto"/>
              <w:right w:val="single" w:sz="4" w:space="0" w:color="auto"/>
            </w:tcBorders>
            <w:shd w:val="clear" w:color="auto" w:fill="auto"/>
            <w:noWrap/>
            <w:vAlign w:val="bottom"/>
            <w:hideMark/>
          </w:tcPr>
          <w:p w14:paraId="096E4F1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-427,21</w:t>
            </w:r>
          </w:p>
        </w:tc>
        <w:tc>
          <w:tcPr>
            <w:tcW w:w="1084" w:type="pct"/>
            <w:tcBorders>
              <w:top w:val="nil"/>
              <w:left w:val="nil"/>
              <w:bottom w:val="single" w:sz="4" w:space="0" w:color="auto"/>
              <w:right w:val="single" w:sz="4" w:space="0" w:color="auto"/>
            </w:tcBorders>
            <w:shd w:val="clear" w:color="auto" w:fill="auto"/>
            <w:noWrap/>
            <w:vAlign w:val="bottom"/>
            <w:hideMark/>
          </w:tcPr>
          <w:p w14:paraId="67DCAAD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344,19</w:t>
            </w:r>
          </w:p>
        </w:tc>
        <w:tc>
          <w:tcPr>
            <w:tcW w:w="998" w:type="pct"/>
            <w:tcBorders>
              <w:top w:val="nil"/>
              <w:left w:val="nil"/>
              <w:bottom w:val="single" w:sz="4" w:space="0" w:color="auto"/>
              <w:right w:val="single" w:sz="4" w:space="0" w:color="auto"/>
            </w:tcBorders>
            <w:shd w:val="clear" w:color="auto" w:fill="auto"/>
            <w:noWrap/>
            <w:vAlign w:val="bottom"/>
            <w:hideMark/>
          </w:tcPr>
          <w:p w14:paraId="1792447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300,16</w:t>
            </w:r>
          </w:p>
        </w:tc>
      </w:tr>
      <w:tr w:rsidR="00C842FA" w:rsidRPr="00161E04" w14:paraId="05DEF319"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316A8343"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MAPFRE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5E3A7B0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nil"/>
              <w:left w:val="nil"/>
              <w:bottom w:val="single" w:sz="4" w:space="0" w:color="auto"/>
              <w:right w:val="single" w:sz="4" w:space="0" w:color="auto"/>
            </w:tcBorders>
            <w:shd w:val="clear" w:color="auto" w:fill="auto"/>
            <w:noWrap/>
            <w:vAlign w:val="bottom"/>
            <w:hideMark/>
          </w:tcPr>
          <w:p w14:paraId="048EA5A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nil"/>
              <w:left w:val="nil"/>
              <w:bottom w:val="single" w:sz="4" w:space="0" w:color="auto"/>
              <w:right w:val="single" w:sz="4" w:space="0" w:color="auto"/>
            </w:tcBorders>
            <w:shd w:val="clear" w:color="auto" w:fill="auto"/>
            <w:noWrap/>
            <w:vAlign w:val="bottom"/>
            <w:hideMark/>
          </w:tcPr>
          <w:p w14:paraId="6F7566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4A46EF7F"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520B2AA"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MUNDIAL DE SEGUROS</w:t>
            </w:r>
          </w:p>
        </w:tc>
        <w:tc>
          <w:tcPr>
            <w:tcW w:w="1169" w:type="pct"/>
            <w:tcBorders>
              <w:top w:val="nil"/>
              <w:left w:val="nil"/>
              <w:bottom w:val="single" w:sz="4" w:space="0" w:color="auto"/>
              <w:right w:val="single" w:sz="4" w:space="0" w:color="auto"/>
            </w:tcBorders>
            <w:shd w:val="clear" w:color="auto" w:fill="auto"/>
            <w:noWrap/>
            <w:vAlign w:val="bottom"/>
            <w:hideMark/>
          </w:tcPr>
          <w:p w14:paraId="6273008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117,39</w:t>
            </w:r>
          </w:p>
        </w:tc>
        <w:tc>
          <w:tcPr>
            <w:tcW w:w="1084" w:type="pct"/>
            <w:tcBorders>
              <w:top w:val="nil"/>
              <w:left w:val="nil"/>
              <w:bottom w:val="single" w:sz="4" w:space="0" w:color="auto"/>
              <w:right w:val="single" w:sz="4" w:space="0" w:color="auto"/>
            </w:tcBorders>
            <w:shd w:val="clear" w:color="auto" w:fill="auto"/>
            <w:noWrap/>
            <w:vAlign w:val="bottom"/>
            <w:hideMark/>
          </w:tcPr>
          <w:p w14:paraId="70E7C3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89,18</w:t>
            </w:r>
          </w:p>
        </w:tc>
        <w:tc>
          <w:tcPr>
            <w:tcW w:w="998" w:type="pct"/>
            <w:tcBorders>
              <w:top w:val="nil"/>
              <w:left w:val="nil"/>
              <w:bottom w:val="single" w:sz="4" w:space="0" w:color="auto"/>
              <w:right w:val="single" w:sz="4" w:space="0" w:color="auto"/>
            </w:tcBorders>
            <w:shd w:val="clear" w:color="auto" w:fill="auto"/>
            <w:noWrap/>
            <w:vAlign w:val="bottom"/>
            <w:hideMark/>
          </w:tcPr>
          <w:p w14:paraId="0638C0B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61,54</w:t>
            </w:r>
          </w:p>
        </w:tc>
      </w:tr>
      <w:tr w:rsidR="00C842FA" w:rsidRPr="00161E04" w14:paraId="45AD5BC3"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1E5EB700"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PREVISORA</w:t>
            </w:r>
          </w:p>
        </w:tc>
        <w:tc>
          <w:tcPr>
            <w:tcW w:w="1169" w:type="pct"/>
            <w:tcBorders>
              <w:top w:val="nil"/>
              <w:left w:val="nil"/>
              <w:bottom w:val="single" w:sz="4" w:space="0" w:color="auto"/>
              <w:right w:val="single" w:sz="4" w:space="0" w:color="auto"/>
            </w:tcBorders>
            <w:shd w:val="clear" w:color="auto" w:fill="auto"/>
            <w:noWrap/>
            <w:vAlign w:val="bottom"/>
            <w:hideMark/>
          </w:tcPr>
          <w:p w14:paraId="329F490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19,39</w:t>
            </w:r>
          </w:p>
        </w:tc>
        <w:tc>
          <w:tcPr>
            <w:tcW w:w="1084" w:type="pct"/>
            <w:tcBorders>
              <w:top w:val="nil"/>
              <w:left w:val="nil"/>
              <w:bottom w:val="single" w:sz="4" w:space="0" w:color="auto"/>
              <w:right w:val="single" w:sz="4" w:space="0" w:color="auto"/>
            </w:tcBorders>
            <w:shd w:val="clear" w:color="auto" w:fill="auto"/>
            <w:noWrap/>
            <w:vAlign w:val="bottom"/>
            <w:hideMark/>
          </w:tcPr>
          <w:p w14:paraId="23C0623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175,13</w:t>
            </w:r>
          </w:p>
        </w:tc>
        <w:tc>
          <w:tcPr>
            <w:tcW w:w="998" w:type="pct"/>
            <w:tcBorders>
              <w:top w:val="nil"/>
              <w:left w:val="nil"/>
              <w:bottom w:val="single" w:sz="4" w:space="0" w:color="auto"/>
              <w:right w:val="single" w:sz="4" w:space="0" w:color="auto"/>
            </w:tcBorders>
            <w:shd w:val="clear" w:color="auto" w:fill="auto"/>
            <w:noWrap/>
            <w:vAlign w:val="bottom"/>
            <w:hideMark/>
          </w:tcPr>
          <w:p w14:paraId="268489F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452,74</w:t>
            </w:r>
          </w:p>
        </w:tc>
      </w:tr>
      <w:tr w:rsidR="00C842FA" w:rsidRPr="00161E04" w14:paraId="323DB396"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26A626ED"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SBS SEGUROS COLOMBIA</w:t>
            </w:r>
          </w:p>
        </w:tc>
        <w:tc>
          <w:tcPr>
            <w:tcW w:w="1169" w:type="pct"/>
            <w:tcBorders>
              <w:top w:val="nil"/>
              <w:left w:val="nil"/>
              <w:bottom w:val="single" w:sz="4" w:space="0" w:color="auto"/>
              <w:right w:val="single" w:sz="4" w:space="0" w:color="auto"/>
            </w:tcBorders>
            <w:shd w:val="clear" w:color="auto" w:fill="auto"/>
            <w:noWrap/>
            <w:vAlign w:val="bottom"/>
            <w:hideMark/>
          </w:tcPr>
          <w:p w14:paraId="4F3018D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1084" w:type="pct"/>
            <w:tcBorders>
              <w:top w:val="nil"/>
              <w:left w:val="nil"/>
              <w:bottom w:val="single" w:sz="4" w:space="0" w:color="auto"/>
              <w:right w:val="single" w:sz="4" w:space="0" w:color="auto"/>
            </w:tcBorders>
            <w:shd w:val="clear" w:color="auto" w:fill="auto"/>
            <w:noWrap/>
            <w:vAlign w:val="bottom"/>
            <w:hideMark/>
          </w:tcPr>
          <w:p w14:paraId="033568D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c>
          <w:tcPr>
            <w:tcW w:w="998" w:type="pct"/>
            <w:tcBorders>
              <w:top w:val="nil"/>
              <w:left w:val="nil"/>
              <w:bottom w:val="single" w:sz="4" w:space="0" w:color="auto"/>
              <w:right w:val="single" w:sz="4" w:space="0" w:color="auto"/>
            </w:tcBorders>
            <w:shd w:val="clear" w:color="auto" w:fill="auto"/>
            <w:noWrap/>
            <w:vAlign w:val="bottom"/>
            <w:hideMark/>
          </w:tcPr>
          <w:p w14:paraId="3303C23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INDETERMINADO</w:t>
            </w:r>
          </w:p>
        </w:tc>
      </w:tr>
      <w:tr w:rsidR="00C842FA" w:rsidRPr="00161E04" w14:paraId="65324632"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041F4D8C"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SEGUROS DEL ESTADO</w:t>
            </w:r>
          </w:p>
        </w:tc>
        <w:tc>
          <w:tcPr>
            <w:tcW w:w="1169" w:type="pct"/>
            <w:tcBorders>
              <w:top w:val="nil"/>
              <w:left w:val="nil"/>
              <w:bottom w:val="single" w:sz="4" w:space="0" w:color="auto"/>
              <w:right w:val="single" w:sz="4" w:space="0" w:color="auto"/>
            </w:tcBorders>
            <w:shd w:val="clear" w:color="auto" w:fill="auto"/>
            <w:noWrap/>
            <w:vAlign w:val="bottom"/>
            <w:hideMark/>
          </w:tcPr>
          <w:p w14:paraId="3FEEB559"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173,01</w:t>
            </w:r>
          </w:p>
        </w:tc>
        <w:tc>
          <w:tcPr>
            <w:tcW w:w="1084" w:type="pct"/>
            <w:tcBorders>
              <w:top w:val="nil"/>
              <w:left w:val="nil"/>
              <w:bottom w:val="single" w:sz="4" w:space="0" w:color="auto"/>
              <w:right w:val="single" w:sz="4" w:space="0" w:color="auto"/>
            </w:tcBorders>
            <w:shd w:val="clear" w:color="auto" w:fill="auto"/>
            <w:noWrap/>
            <w:vAlign w:val="bottom"/>
            <w:hideMark/>
          </w:tcPr>
          <w:p w14:paraId="43AFE7B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107,85</w:t>
            </w:r>
          </w:p>
        </w:tc>
        <w:tc>
          <w:tcPr>
            <w:tcW w:w="998" w:type="pct"/>
            <w:tcBorders>
              <w:top w:val="nil"/>
              <w:left w:val="nil"/>
              <w:bottom w:val="single" w:sz="4" w:space="0" w:color="auto"/>
              <w:right w:val="single" w:sz="4" w:space="0" w:color="auto"/>
            </w:tcBorders>
            <w:shd w:val="clear" w:color="auto" w:fill="auto"/>
            <w:noWrap/>
            <w:vAlign w:val="bottom"/>
            <w:hideMark/>
          </w:tcPr>
          <w:p w14:paraId="4E59C6F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70,30</w:t>
            </w:r>
          </w:p>
        </w:tc>
      </w:tr>
      <w:tr w:rsidR="00C842FA" w:rsidRPr="00161E04" w14:paraId="63146DB4"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54BBD7E9"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 xml:space="preserve">SOLIDARIA </w:t>
            </w:r>
          </w:p>
        </w:tc>
        <w:tc>
          <w:tcPr>
            <w:tcW w:w="1169" w:type="pct"/>
            <w:tcBorders>
              <w:top w:val="nil"/>
              <w:left w:val="nil"/>
              <w:bottom w:val="single" w:sz="4" w:space="0" w:color="auto"/>
              <w:right w:val="single" w:sz="4" w:space="0" w:color="auto"/>
            </w:tcBorders>
            <w:shd w:val="clear" w:color="auto" w:fill="auto"/>
            <w:noWrap/>
            <w:vAlign w:val="bottom"/>
            <w:hideMark/>
          </w:tcPr>
          <w:p w14:paraId="4556E72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-67,43</w:t>
            </w:r>
          </w:p>
        </w:tc>
        <w:tc>
          <w:tcPr>
            <w:tcW w:w="1084" w:type="pct"/>
            <w:tcBorders>
              <w:top w:val="nil"/>
              <w:left w:val="nil"/>
              <w:bottom w:val="single" w:sz="4" w:space="0" w:color="auto"/>
              <w:right w:val="single" w:sz="4" w:space="0" w:color="auto"/>
            </w:tcBorders>
            <w:shd w:val="clear" w:color="auto" w:fill="auto"/>
            <w:noWrap/>
            <w:vAlign w:val="bottom"/>
            <w:hideMark/>
          </w:tcPr>
          <w:p w14:paraId="31ED9C8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0,47</w:t>
            </w:r>
          </w:p>
        </w:tc>
        <w:tc>
          <w:tcPr>
            <w:tcW w:w="998" w:type="pct"/>
            <w:tcBorders>
              <w:top w:val="nil"/>
              <w:left w:val="nil"/>
              <w:bottom w:val="single" w:sz="4" w:space="0" w:color="auto"/>
              <w:right w:val="single" w:sz="4" w:space="0" w:color="auto"/>
            </w:tcBorders>
            <w:shd w:val="clear" w:color="auto" w:fill="auto"/>
            <w:noWrap/>
            <w:vAlign w:val="bottom"/>
            <w:hideMark/>
          </w:tcPr>
          <w:p w14:paraId="039AC21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9,52</w:t>
            </w:r>
          </w:p>
        </w:tc>
      </w:tr>
      <w:tr w:rsidR="00C842FA" w:rsidRPr="00161E04" w14:paraId="415D80F0"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hideMark/>
          </w:tcPr>
          <w:p w14:paraId="21C17692"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SURAMERICANA SEGUROS GENERALES</w:t>
            </w:r>
          </w:p>
        </w:tc>
        <w:tc>
          <w:tcPr>
            <w:tcW w:w="1169" w:type="pct"/>
            <w:tcBorders>
              <w:top w:val="nil"/>
              <w:left w:val="nil"/>
              <w:bottom w:val="single" w:sz="4" w:space="0" w:color="auto"/>
              <w:right w:val="single" w:sz="4" w:space="0" w:color="auto"/>
            </w:tcBorders>
            <w:shd w:val="clear" w:color="auto" w:fill="auto"/>
            <w:noWrap/>
            <w:vAlign w:val="bottom"/>
            <w:hideMark/>
          </w:tcPr>
          <w:p w14:paraId="15EE934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11,58</w:t>
            </w:r>
          </w:p>
        </w:tc>
        <w:tc>
          <w:tcPr>
            <w:tcW w:w="1084" w:type="pct"/>
            <w:tcBorders>
              <w:top w:val="nil"/>
              <w:left w:val="nil"/>
              <w:bottom w:val="single" w:sz="4" w:space="0" w:color="auto"/>
              <w:right w:val="single" w:sz="4" w:space="0" w:color="auto"/>
            </w:tcBorders>
            <w:shd w:val="clear" w:color="auto" w:fill="auto"/>
            <w:noWrap/>
            <w:vAlign w:val="bottom"/>
            <w:hideMark/>
          </w:tcPr>
          <w:p w14:paraId="7C942B1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19.351,73</w:t>
            </w:r>
          </w:p>
        </w:tc>
        <w:tc>
          <w:tcPr>
            <w:tcW w:w="998" w:type="pct"/>
            <w:tcBorders>
              <w:top w:val="nil"/>
              <w:left w:val="nil"/>
              <w:bottom w:val="single" w:sz="4" w:space="0" w:color="auto"/>
              <w:right w:val="single" w:sz="4" w:space="0" w:color="auto"/>
            </w:tcBorders>
            <w:shd w:val="clear" w:color="auto" w:fill="auto"/>
            <w:noWrap/>
            <w:vAlign w:val="bottom"/>
            <w:hideMark/>
          </w:tcPr>
          <w:p w14:paraId="5B46ACB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1.122.126,37</w:t>
            </w:r>
          </w:p>
        </w:tc>
      </w:tr>
      <w:tr w:rsidR="00C842FA" w:rsidRPr="00161E04" w14:paraId="5CE4F4E7" w14:textId="77777777" w:rsidTr="00161E04">
        <w:trPr>
          <w:trHeight w:val="142"/>
          <w:jc w:val="center"/>
        </w:trPr>
        <w:tc>
          <w:tcPr>
            <w:tcW w:w="1749" w:type="pct"/>
            <w:tcBorders>
              <w:top w:val="nil"/>
              <w:left w:val="single" w:sz="4" w:space="0" w:color="auto"/>
              <w:bottom w:val="single" w:sz="4" w:space="0" w:color="auto"/>
              <w:right w:val="single" w:sz="4" w:space="0" w:color="auto"/>
            </w:tcBorders>
            <w:shd w:val="clear" w:color="auto" w:fill="auto"/>
            <w:vAlign w:val="center"/>
          </w:tcPr>
          <w:p w14:paraId="3B284C75" w14:textId="77777777" w:rsidR="00C842FA" w:rsidRPr="007413C9" w:rsidRDefault="00C842FA" w:rsidP="0070530E">
            <w:pPr>
              <w:spacing w:after="0" w:line="240" w:lineRule="auto"/>
              <w:rPr>
                <w:rFonts w:cstheme="minorHAnsi"/>
                <w:sz w:val="18"/>
                <w:szCs w:val="18"/>
                <w:lang w:eastAsia="es-CO"/>
              </w:rPr>
            </w:pPr>
            <w:r w:rsidRPr="007413C9">
              <w:rPr>
                <w:rFonts w:cstheme="minorHAnsi"/>
                <w:sz w:val="18"/>
                <w:szCs w:val="18"/>
                <w:lang w:eastAsia="es-CO"/>
              </w:rPr>
              <w:t>ZURICH</w:t>
            </w:r>
          </w:p>
        </w:tc>
        <w:tc>
          <w:tcPr>
            <w:tcW w:w="1169" w:type="pct"/>
            <w:tcBorders>
              <w:top w:val="nil"/>
              <w:left w:val="nil"/>
              <w:bottom w:val="single" w:sz="4" w:space="0" w:color="auto"/>
              <w:right w:val="single" w:sz="4" w:space="0" w:color="auto"/>
            </w:tcBorders>
            <w:shd w:val="clear" w:color="auto" w:fill="auto"/>
            <w:noWrap/>
            <w:vAlign w:val="bottom"/>
          </w:tcPr>
          <w:p w14:paraId="1409F31B"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-51,72</w:t>
            </w:r>
          </w:p>
        </w:tc>
        <w:tc>
          <w:tcPr>
            <w:tcW w:w="1084" w:type="pct"/>
            <w:tcBorders>
              <w:top w:val="nil"/>
              <w:left w:val="nil"/>
              <w:bottom w:val="single" w:sz="4" w:space="0" w:color="auto"/>
              <w:right w:val="single" w:sz="4" w:space="0" w:color="auto"/>
            </w:tcBorders>
            <w:shd w:val="clear" w:color="auto" w:fill="auto"/>
            <w:noWrap/>
            <w:vAlign w:val="bottom"/>
          </w:tcPr>
          <w:p w14:paraId="5CC01B0A"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-65,81</w:t>
            </w:r>
          </w:p>
        </w:tc>
        <w:tc>
          <w:tcPr>
            <w:tcW w:w="998" w:type="pct"/>
            <w:tcBorders>
              <w:top w:val="nil"/>
              <w:left w:val="nil"/>
              <w:bottom w:val="single" w:sz="4" w:space="0" w:color="auto"/>
              <w:right w:val="single" w:sz="4" w:space="0" w:color="auto"/>
            </w:tcBorders>
            <w:shd w:val="clear" w:color="auto" w:fill="auto"/>
            <w:noWrap/>
            <w:vAlign w:val="bottom"/>
          </w:tcPr>
          <w:p w14:paraId="50DA2C5E"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-85,65</w:t>
            </w:r>
          </w:p>
        </w:tc>
      </w:tr>
    </w:tbl>
    <w:p w14:paraId="56942B31" w14:textId="77777777" w:rsidR="00C842FA" w:rsidRPr="0070530E" w:rsidRDefault="00C842FA" w:rsidP="0070530E">
      <w:pPr>
        <w:autoSpaceDE w:val="0"/>
        <w:autoSpaceDN w:val="0"/>
        <w:spacing w:after="0" w:line="240" w:lineRule="auto"/>
        <w:ind w:left="142"/>
        <w:jc w:val="both"/>
        <w:rPr>
          <w:rFonts w:cstheme="minorHAnsi"/>
          <w:snapToGrid w:val="0"/>
        </w:rPr>
      </w:pPr>
    </w:p>
    <w:p w14:paraId="0D49D883" w14:textId="77777777" w:rsidR="00C842FA" w:rsidRPr="0070530E" w:rsidRDefault="00C842FA" w:rsidP="0070530E">
      <w:pPr>
        <w:autoSpaceDE w:val="0"/>
        <w:autoSpaceDN w:val="0"/>
        <w:spacing w:after="0" w:line="240" w:lineRule="auto"/>
        <w:ind w:left="142"/>
        <w:jc w:val="both"/>
        <w:rPr>
          <w:rFonts w:cstheme="minorHAnsi"/>
          <w:snapToGrid w:val="0"/>
        </w:rPr>
      </w:pPr>
      <w:r w:rsidRPr="0070530E">
        <w:rPr>
          <w:rFonts w:cstheme="minorHAnsi"/>
          <w:snapToGrid w:val="0"/>
        </w:rPr>
        <w:t>La muestra analizada muestra aseguradoras cuyo indicador es indeterminado, por cuanto no cuentan con gastos de intereses.</w:t>
      </w:r>
    </w:p>
    <w:p w14:paraId="6503C7AB" w14:textId="40692D65" w:rsidR="00CF250B" w:rsidRDefault="00CF250B">
      <w:pPr>
        <w:spacing w:after="160" w:line="259" w:lineRule="auto"/>
        <w:rPr>
          <w:rFonts w:cstheme="minorHAnsi"/>
          <w:snapToGrid w:val="0"/>
        </w:rPr>
      </w:pPr>
      <w:r>
        <w:rPr>
          <w:rFonts w:cstheme="minorHAnsi"/>
          <w:snapToGrid w:val="0"/>
        </w:rPr>
        <w:br w:type="page"/>
      </w:r>
    </w:p>
    <w:p w14:paraId="5D0FE028" w14:textId="244D94A9" w:rsidR="00C842FA" w:rsidRPr="0070530E" w:rsidRDefault="00C842FA" w:rsidP="0070530E">
      <w:pPr>
        <w:numPr>
          <w:ilvl w:val="0"/>
          <w:numId w:val="18"/>
        </w:numPr>
        <w:autoSpaceDN w:val="0"/>
        <w:spacing w:after="0" w:line="240" w:lineRule="auto"/>
        <w:ind w:left="284" w:hanging="284"/>
        <w:jc w:val="both"/>
        <w:rPr>
          <w:rFonts w:cstheme="minorHAnsi"/>
          <w:b/>
          <w:snapToGrid w:val="0"/>
        </w:rPr>
      </w:pPr>
      <w:r w:rsidRPr="0070530E">
        <w:rPr>
          <w:rFonts w:cstheme="minorHAnsi"/>
          <w:b/>
          <w:snapToGrid w:val="0"/>
        </w:rPr>
        <w:lastRenderedPageBreak/>
        <w:t>Análisis de los Indicadores de Capacidad Organizacional</w:t>
      </w:r>
    </w:p>
    <w:p w14:paraId="45175418" w14:textId="77777777" w:rsidR="00C842FA" w:rsidRPr="0070530E" w:rsidRDefault="00C842FA" w:rsidP="0070530E">
      <w:pPr>
        <w:spacing w:after="0" w:line="240" w:lineRule="auto"/>
        <w:jc w:val="both"/>
        <w:rPr>
          <w:rFonts w:cstheme="minorHAnsi"/>
          <w:snapToGrid w:val="0"/>
        </w:rPr>
      </w:pPr>
      <w:r w:rsidRPr="0070530E">
        <w:rPr>
          <w:rFonts w:cstheme="minorHAnsi"/>
          <w:snapToGrid w:val="0"/>
        </w:rPr>
        <w:t>Entre tanto, los índices de Capacidad organizacional son definidos como la aptitud de un proponente para cumplir oportuna y cabalmente con el objeto del contrato, en función de su organización interna</w:t>
      </w:r>
      <w:hyperlink r:id="rId28" w:history="1"/>
      <w:r w:rsidRPr="0070530E">
        <w:rPr>
          <w:rFonts w:cstheme="minorHAnsi"/>
          <w:snapToGrid w:val="0"/>
        </w:rPr>
        <w:t>.</w:t>
      </w:r>
    </w:p>
    <w:p w14:paraId="2B01F656" w14:textId="77777777" w:rsidR="00C842FA" w:rsidRPr="0070530E" w:rsidRDefault="00C842FA" w:rsidP="0070530E">
      <w:pPr>
        <w:spacing w:after="0" w:line="240" w:lineRule="auto"/>
        <w:ind w:left="426"/>
        <w:contextualSpacing/>
        <w:jc w:val="both"/>
        <w:rPr>
          <w:rFonts w:cstheme="minorHAnsi"/>
          <w:snapToGrid w:val="0"/>
        </w:rPr>
      </w:pPr>
    </w:p>
    <w:p w14:paraId="0553FE03" w14:textId="77777777" w:rsidR="00C842FA" w:rsidRPr="0070530E" w:rsidRDefault="00C842FA" w:rsidP="0070530E">
      <w:pPr>
        <w:spacing w:after="0" w:line="240" w:lineRule="auto"/>
        <w:jc w:val="both"/>
        <w:rPr>
          <w:rFonts w:cstheme="minorHAnsi"/>
          <w:snapToGrid w:val="0"/>
        </w:rPr>
      </w:pPr>
      <w:r w:rsidRPr="0070530E">
        <w:rPr>
          <w:rFonts w:cstheme="minorHAnsi"/>
          <w:snapToGrid w:val="0"/>
        </w:rPr>
        <w:t xml:space="preserve">De lo anterior, vale la pena resaltar que los indicadores de rentabilidad del activo y del patrimonio, se utilizan para observar cual es el margen real de rentabilidad de los accionistas con relación a su inversión. Este valor, es más un indicador para análisis interno de los oferentes, toda vez que éste les permite comparar el valor obtenido con el costo de oportunidad, es decir con otras alternativas de inversión posibles del mercado. </w:t>
      </w:r>
    </w:p>
    <w:p w14:paraId="0244787C"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Adicionalmente es importante tener en cuenta que, al calcular la rentabilidad del activo, éstos se encuentran por lo general a datos históricos, de ahí también se puede determinar que se deben valorar los activos a precios de mercado y tener en cuenta solo activos operativos.</w:t>
      </w:r>
    </w:p>
    <w:p w14:paraId="17CED3CA" w14:textId="77777777" w:rsidR="00C842FA" w:rsidRPr="0070530E" w:rsidRDefault="00C842FA" w:rsidP="0070530E">
      <w:pPr>
        <w:spacing w:after="0" w:line="240" w:lineRule="auto"/>
        <w:jc w:val="both"/>
        <w:rPr>
          <w:rFonts w:eastAsia="Calibri" w:cstheme="minorHAnsi"/>
          <w:lang w:eastAsia="es-CO"/>
        </w:rPr>
      </w:pPr>
    </w:p>
    <w:p w14:paraId="749F9C56"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En el sector asegurador es importante que las aseguradoras tengan buenas reservas, es decir, que sean solventes para garantizar el oportuno pago de siniestros en que pueden incurrir las empresas que tienen aseguradas, lo cual se reflejara de cara al proceso en un principio de transparencia y pluralidad de oferentes.</w:t>
      </w:r>
    </w:p>
    <w:p w14:paraId="2A3D89AD" w14:textId="77777777" w:rsidR="00C842FA" w:rsidRPr="0070530E" w:rsidRDefault="00C842FA" w:rsidP="0070530E">
      <w:pPr>
        <w:spacing w:after="0" w:line="240" w:lineRule="auto"/>
        <w:ind w:left="426"/>
        <w:jc w:val="both"/>
        <w:rPr>
          <w:rFonts w:eastAsia="Calibri" w:cstheme="minorHAnsi"/>
          <w:lang w:eastAsia="es-CO"/>
        </w:rPr>
      </w:pPr>
    </w:p>
    <w:p w14:paraId="15D78432" w14:textId="77777777" w:rsidR="00C842FA" w:rsidRPr="0070530E" w:rsidRDefault="00C842FA" w:rsidP="0070530E">
      <w:pPr>
        <w:spacing w:after="0" w:line="240" w:lineRule="auto"/>
        <w:jc w:val="both"/>
        <w:rPr>
          <w:rFonts w:eastAsia="Calibri" w:cstheme="minorHAnsi"/>
          <w:lang w:eastAsia="es-CO"/>
        </w:rPr>
      </w:pPr>
      <w:r w:rsidRPr="0070530E">
        <w:rPr>
          <w:rFonts w:eastAsia="Calibri" w:cstheme="minorHAnsi"/>
          <w:lang w:eastAsia="es-CO"/>
        </w:rPr>
        <w:t>Finalmente debe tenerse en cuenta que,</w:t>
      </w:r>
      <w:r w:rsidRPr="0070530E">
        <w:rPr>
          <w:rFonts w:eastAsia="Calibri" w:cstheme="minorHAnsi"/>
          <w:iCs/>
          <w:lang w:eastAsia="es-CO"/>
        </w:rPr>
        <w:t xml:space="preserve"> en concordancia con lo establecido en el Estatuto Orgánico del Sistema Financiero y de acuerdo con el Decreto 2954 de 2010, en consideración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 como los propiamente financieros tal como el de mercado y el de activo y para ello se analiza el patrimonio técnico vs el patrimonio adecuado y que su relación arroje un valor positivo.</w:t>
      </w:r>
    </w:p>
    <w:p w14:paraId="07F73D8C" w14:textId="77777777" w:rsidR="00C842FA" w:rsidRPr="0070530E" w:rsidRDefault="00C842FA" w:rsidP="0070530E">
      <w:pPr>
        <w:spacing w:after="0" w:line="240" w:lineRule="auto"/>
        <w:jc w:val="both"/>
        <w:rPr>
          <w:rFonts w:eastAsia="Calibri" w:cstheme="minorHAnsi"/>
          <w:lang w:eastAsia="es-CO"/>
        </w:rPr>
      </w:pPr>
    </w:p>
    <w:p w14:paraId="3300CCFF" w14:textId="5E72EBF7" w:rsidR="00C842FA" w:rsidRPr="0070530E" w:rsidRDefault="00C842FA" w:rsidP="0070530E">
      <w:pPr>
        <w:spacing w:after="0" w:line="240" w:lineRule="auto"/>
        <w:jc w:val="both"/>
        <w:rPr>
          <w:rFonts w:eastAsia="Calibri" w:cstheme="minorHAnsi"/>
          <w:b/>
          <w:lang w:eastAsia="es-CO"/>
        </w:rPr>
      </w:pPr>
      <w:r w:rsidRPr="0070530E">
        <w:rPr>
          <w:rFonts w:eastAsia="Calibri" w:cstheme="minorHAnsi"/>
          <w:lang w:eastAsia="es-CO"/>
        </w:rPr>
        <w:t xml:space="preserve">Estos indicadores </w:t>
      </w:r>
      <w:r w:rsidRPr="0070530E">
        <w:rPr>
          <w:rFonts w:eastAsia="Calibri" w:cstheme="minorHAnsi"/>
          <w:b/>
          <w:lang w:eastAsia="es-CO"/>
        </w:rPr>
        <w:t>ROA y ROE</w:t>
      </w:r>
      <w:r w:rsidRPr="0070530E">
        <w:rPr>
          <w:rFonts w:eastAsia="Calibri" w:cstheme="minorHAnsi"/>
          <w:lang w:eastAsia="es-CO"/>
        </w:rPr>
        <w:t xml:space="preserve">, han sido estudiados y modificados conforme al análisis minucioso que se realizó para cada una de las compañías del sector asegurador que puedan llegar a cumplir con la necesidad que requiere contratar la </w:t>
      </w:r>
      <w:r w:rsidR="0098004D">
        <w:rPr>
          <w:rFonts w:eastAsia="Calibri" w:cstheme="minorHAnsi"/>
          <w:lang w:eastAsia="es-CO"/>
        </w:rPr>
        <w:t xml:space="preserve">Universidad Distrital Francisco </w:t>
      </w:r>
      <w:r w:rsidR="00B1770C">
        <w:rPr>
          <w:rFonts w:eastAsia="Calibri" w:cstheme="minorHAnsi"/>
          <w:lang w:eastAsia="es-CO"/>
        </w:rPr>
        <w:t>José de Caldas</w:t>
      </w:r>
      <w:r w:rsidRPr="0070530E">
        <w:rPr>
          <w:rFonts w:eastAsia="Calibri" w:cstheme="minorHAnsi"/>
          <w:lang w:eastAsia="es-CO"/>
        </w:rPr>
        <w:t xml:space="preserve">, a continuación, presentamos las condiciones que presenta el sector para estos indicadores así: </w:t>
      </w:r>
      <w:r w:rsidRPr="0070530E">
        <w:rPr>
          <w:rFonts w:eastAsia="Calibri" w:cstheme="minorHAnsi"/>
          <w:b/>
          <w:lang w:eastAsia="es-CO"/>
        </w:rPr>
        <w:t>Compañías de seguros de Generales</w:t>
      </w:r>
    </w:p>
    <w:p w14:paraId="40C521C3" w14:textId="77777777" w:rsidR="00C842FA" w:rsidRPr="0070530E" w:rsidRDefault="00C842FA" w:rsidP="0070530E">
      <w:pPr>
        <w:spacing w:after="0" w:line="240" w:lineRule="auto"/>
        <w:jc w:val="both"/>
        <w:rPr>
          <w:rFonts w:eastAsia="Calibri" w:cstheme="minorHAnsi"/>
          <w:lang w:eastAsia="es-CO"/>
        </w:rPr>
      </w:pPr>
    </w:p>
    <w:tbl>
      <w:tblPr>
        <w:tblW w:w="5079" w:type="pct"/>
        <w:tblLayout w:type="fixed"/>
        <w:tblCellMar>
          <w:left w:w="70" w:type="dxa"/>
          <w:right w:w="70" w:type="dxa"/>
        </w:tblCellMar>
        <w:tblLook w:val="04A0" w:firstRow="1" w:lastRow="0" w:firstColumn="1" w:lastColumn="0" w:noHBand="0" w:noVBand="1"/>
      </w:tblPr>
      <w:tblGrid>
        <w:gridCol w:w="2972"/>
        <w:gridCol w:w="1843"/>
        <w:gridCol w:w="1984"/>
        <w:gridCol w:w="1829"/>
      </w:tblGrid>
      <w:tr w:rsidR="00C842FA" w:rsidRPr="00161E04" w14:paraId="2DB39CFD" w14:textId="77777777" w:rsidTr="00CF250B">
        <w:trPr>
          <w:trHeight w:val="260"/>
        </w:trPr>
        <w:tc>
          <w:tcPr>
            <w:tcW w:w="1722"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65AD087C"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ASEGURADORA</w:t>
            </w:r>
          </w:p>
        </w:tc>
        <w:tc>
          <w:tcPr>
            <w:tcW w:w="3278" w:type="pct"/>
            <w:gridSpan w:val="3"/>
            <w:tcBorders>
              <w:top w:val="single" w:sz="4" w:space="0" w:color="2F75B5"/>
              <w:left w:val="nil"/>
              <w:bottom w:val="single" w:sz="4" w:space="0" w:color="2F75B5"/>
              <w:right w:val="single" w:sz="4" w:space="0" w:color="2F75B5"/>
            </w:tcBorders>
            <w:shd w:val="clear" w:color="auto" w:fill="FF0000"/>
            <w:vAlign w:val="center"/>
            <w:hideMark/>
          </w:tcPr>
          <w:p w14:paraId="3A2B644C"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 xml:space="preserve">RENTABILIDAD DEL PATRIMONIO </w:t>
            </w:r>
          </w:p>
        </w:tc>
      </w:tr>
      <w:tr w:rsidR="00C842FA" w:rsidRPr="00161E04" w14:paraId="28185010" w14:textId="77777777" w:rsidTr="00CF250B">
        <w:trPr>
          <w:trHeight w:val="260"/>
        </w:trPr>
        <w:tc>
          <w:tcPr>
            <w:tcW w:w="1722"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E9A6688" w14:textId="77777777" w:rsidR="00C842FA" w:rsidRPr="00161E04" w:rsidRDefault="00C842FA" w:rsidP="0070530E">
            <w:pPr>
              <w:spacing w:after="0" w:line="240" w:lineRule="auto"/>
              <w:rPr>
                <w:rFonts w:cstheme="minorHAnsi"/>
                <w:b/>
                <w:bCs/>
                <w:color w:val="FFFFFF"/>
                <w:sz w:val="18"/>
                <w:szCs w:val="18"/>
                <w:lang w:eastAsia="es-CO"/>
              </w:rPr>
            </w:pPr>
          </w:p>
        </w:tc>
        <w:tc>
          <w:tcPr>
            <w:tcW w:w="1068" w:type="pct"/>
            <w:tcBorders>
              <w:top w:val="nil"/>
              <w:left w:val="nil"/>
              <w:bottom w:val="single" w:sz="4" w:space="0" w:color="2F75B5"/>
              <w:right w:val="single" w:sz="4" w:space="0" w:color="2F75B5"/>
            </w:tcBorders>
            <w:shd w:val="clear" w:color="auto" w:fill="FF0000"/>
            <w:vAlign w:val="center"/>
            <w:hideMark/>
          </w:tcPr>
          <w:p w14:paraId="645C5A54"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2021</w:t>
            </w:r>
          </w:p>
        </w:tc>
        <w:tc>
          <w:tcPr>
            <w:tcW w:w="1150" w:type="pct"/>
            <w:tcBorders>
              <w:top w:val="nil"/>
              <w:left w:val="nil"/>
              <w:bottom w:val="single" w:sz="4" w:space="0" w:color="2F75B5"/>
              <w:right w:val="single" w:sz="4" w:space="0" w:color="2F75B5"/>
            </w:tcBorders>
            <w:shd w:val="clear" w:color="auto" w:fill="FF0000"/>
            <w:vAlign w:val="center"/>
            <w:hideMark/>
          </w:tcPr>
          <w:p w14:paraId="46022A12"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2020</w:t>
            </w:r>
          </w:p>
        </w:tc>
        <w:tc>
          <w:tcPr>
            <w:tcW w:w="1060" w:type="pct"/>
            <w:tcBorders>
              <w:top w:val="nil"/>
              <w:left w:val="nil"/>
              <w:bottom w:val="single" w:sz="4" w:space="0" w:color="2F75B5"/>
              <w:right w:val="single" w:sz="4" w:space="0" w:color="2F75B5"/>
            </w:tcBorders>
            <w:shd w:val="clear" w:color="auto" w:fill="FF0000"/>
            <w:vAlign w:val="center"/>
            <w:hideMark/>
          </w:tcPr>
          <w:p w14:paraId="5C14E169" w14:textId="77777777" w:rsidR="00C842FA" w:rsidRPr="00161E04" w:rsidRDefault="00C842FA" w:rsidP="0070530E">
            <w:pPr>
              <w:spacing w:after="0" w:line="240" w:lineRule="auto"/>
              <w:jc w:val="center"/>
              <w:rPr>
                <w:rFonts w:cstheme="minorHAnsi"/>
                <w:b/>
                <w:bCs/>
                <w:color w:val="FFFFFF"/>
                <w:sz w:val="18"/>
                <w:szCs w:val="18"/>
                <w:lang w:eastAsia="es-CO"/>
              </w:rPr>
            </w:pPr>
            <w:r w:rsidRPr="00161E04">
              <w:rPr>
                <w:rFonts w:cstheme="minorHAnsi"/>
                <w:b/>
                <w:bCs/>
                <w:color w:val="FFFFFF"/>
                <w:sz w:val="18"/>
                <w:szCs w:val="18"/>
                <w:lang w:eastAsia="es-CO"/>
              </w:rPr>
              <w:t>2019</w:t>
            </w:r>
          </w:p>
        </w:tc>
      </w:tr>
      <w:tr w:rsidR="00C842FA" w:rsidRPr="00161E04" w14:paraId="3485A6F4" w14:textId="77777777" w:rsidTr="00161E04">
        <w:trPr>
          <w:trHeight w:val="142"/>
        </w:trPr>
        <w:tc>
          <w:tcPr>
            <w:tcW w:w="1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44443"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ALLIANZ</w:t>
            </w:r>
          </w:p>
        </w:tc>
        <w:tc>
          <w:tcPr>
            <w:tcW w:w="1068" w:type="pct"/>
            <w:tcBorders>
              <w:top w:val="single" w:sz="4" w:space="0" w:color="auto"/>
              <w:left w:val="nil"/>
              <w:bottom w:val="single" w:sz="4" w:space="0" w:color="auto"/>
              <w:right w:val="single" w:sz="4" w:space="0" w:color="auto"/>
            </w:tcBorders>
            <w:shd w:val="clear" w:color="auto" w:fill="auto"/>
            <w:noWrap/>
            <w:vAlign w:val="bottom"/>
            <w:hideMark/>
          </w:tcPr>
          <w:p w14:paraId="4F7B9EF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c>
          <w:tcPr>
            <w:tcW w:w="1150" w:type="pct"/>
            <w:tcBorders>
              <w:top w:val="single" w:sz="4" w:space="0" w:color="auto"/>
              <w:left w:val="nil"/>
              <w:bottom w:val="single" w:sz="4" w:space="0" w:color="auto"/>
              <w:right w:val="single" w:sz="4" w:space="0" w:color="auto"/>
            </w:tcBorders>
            <w:shd w:val="clear" w:color="auto" w:fill="auto"/>
            <w:noWrap/>
            <w:vAlign w:val="bottom"/>
            <w:hideMark/>
          </w:tcPr>
          <w:p w14:paraId="548F829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0,22</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14:paraId="2092A30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0,08</w:t>
            </w:r>
          </w:p>
        </w:tc>
      </w:tr>
      <w:tr w:rsidR="00C842FA" w:rsidRPr="00161E04" w14:paraId="562FF8F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6629CD6"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AXA COLPATRIA</w:t>
            </w:r>
          </w:p>
        </w:tc>
        <w:tc>
          <w:tcPr>
            <w:tcW w:w="1068" w:type="pct"/>
            <w:tcBorders>
              <w:top w:val="nil"/>
              <w:left w:val="nil"/>
              <w:bottom w:val="single" w:sz="4" w:space="0" w:color="auto"/>
              <w:right w:val="single" w:sz="4" w:space="0" w:color="auto"/>
            </w:tcBorders>
            <w:shd w:val="clear" w:color="auto" w:fill="auto"/>
            <w:noWrap/>
            <w:vAlign w:val="bottom"/>
            <w:hideMark/>
          </w:tcPr>
          <w:p w14:paraId="10276814"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0,09</w:t>
            </w:r>
          </w:p>
        </w:tc>
        <w:tc>
          <w:tcPr>
            <w:tcW w:w="1150" w:type="pct"/>
            <w:tcBorders>
              <w:top w:val="nil"/>
              <w:left w:val="nil"/>
              <w:bottom w:val="single" w:sz="4" w:space="0" w:color="auto"/>
              <w:right w:val="single" w:sz="4" w:space="0" w:color="auto"/>
            </w:tcBorders>
            <w:shd w:val="clear" w:color="auto" w:fill="auto"/>
            <w:noWrap/>
            <w:vAlign w:val="bottom"/>
            <w:hideMark/>
          </w:tcPr>
          <w:p w14:paraId="52D092C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0,26</w:t>
            </w:r>
          </w:p>
        </w:tc>
        <w:tc>
          <w:tcPr>
            <w:tcW w:w="1060" w:type="pct"/>
            <w:tcBorders>
              <w:top w:val="nil"/>
              <w:left w:val="nil"/>
              <w:bottom w:val="single" w:sz="4" w:space="0" w:color="auto"/>
              <w:right w:val="single" w:sz="4" w:space="0" w:color="auto"/>
            </w:tcBorders>
            <w:shd w:val="clear" w:color="auto" w:fill="auto"/>
            <w:noWrap/>
            <w:vAlign w:val="bottom"/>
            <w:hideMark/>
          </w:tcPr>
          <w:p w14:paraId="269C532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0,02</w:t>
            </w:r>
          </w:p>
        </w:tc>
      </w:tr>
      <w:tr w:rsidR="00C842FA" w:rsidRPr="00161E04" w14:paraId="6695952D"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96EA267"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CHUBB DE COLOMBIA</w:t>
            </w:r>
          </w:p>
        </w:tc>
        <w:tc>
          <w:tcPr>
            <w:tcW w:w="1068" w:type="pct"/>
            <w:tcBorders>
              <w:top w:val="nil"/>
              <w:left w:val="nil"/>
              <w:bottom w:val="single" w:sz="4" w:space="0" w:color="auto"/>
              <w:right w:val="single" w:sz="4" w:space="0" w:color="auto"/>
            </w:tcBorders>
            <w:shd w:val="clear" w:color="auto" w:fill="auto"/>
            <w:noWrap/>
            <w:vAlign w:val="bottom"/>
            <w:hideMark/>
          </w:tcPr>
          <w:p w14:paraId="7459034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0,15</w:t>
            </w:r>
          </w:p>
        </w:tc>
        <w:tc>
          <w:tcPr>
            <w:tcW w:w="1150" w:type="pct"/>
            <w:tcBorders>
              <w:top w:val="nil"/>
              <w:left w:val="nil"/>
              <w:bottom w:val="single" w:sz="4" w:space="0" w:color="auto"/>
              <w:right w:val="single" w:sz="4" w:space="0" w:color="auto"/>
            </w:tcBorders>
            <w:shd w:val="clear" w:color="auto" w:fill="auto"/>
            <w:noWrap/>
            <w:vAlign w:val="bottom"/>
            <w:hideMark/>
          </w:tcPr>
          <w:p w14:paraId="15DF03E0"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0,31</w:t>
            </w:r>
          </w:p>
        </w:tc>
        <w:tc>
          <w:tcPr>
            <w:tcW w:w="1060" w:type="pct"/>
            <w:tcBorders>
              <w:top w:val="nil"/>
              <w:left w:val="nil"/>
              <w:bottom w:val="single" w:sz="4" w:space="0" w:color="auto"/>
              <w:right w:val="single" w:sz="4" w:space="0" w:color="auto"/>
            </w:tcBorders>
            <w:shd w:val="clear" w:color="auto" w:fill="auto"/>
            <w:noWrap/>
            <w:vAlign w:val="bottom"/>
            <w:hideMark/>
          </w:tcPr>
          <w:p w14:paraId="27A4567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0,11</w:t>
            </w:r>
          </w:p>
        </w:tc>
      </w:tr>
      <w:tr w:rsidR="00C842FA" w:rsidRPr="00161E04" w14:paraId="67ED1569"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1388D4E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HDI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035CC84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-0,18</w:t>
            </w:r>
          </w:p>
        </w:tc>
        <w:tc>
          <w:tcPr>
            <w:tcW w:w="1150" w:type="pct"/>
            <w:tcBorders>
              <w:top w:val="nil"/>
              <w:left w:val="nil"/>
              <w:bottom w:val="single" w:sz="4" w:space="0" w:color="auto"/>
              <w:right w:val="single" w:sz="4" w:space="0" w:color="auto"/>
            </w:tcBorders>
            <w:shd w:val="clear" w:color="auto" w:fill="auto"/>
            <w:noWrap/>
            <w:vAlign w:val="bottom"/>
            <w:hideMark/>
          </w:tcPr>
          <w:p w14:paraId="197B6F1C"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060" w:type="pct"/>
            <w:tcBorders>
              <w:top w:val="nil"/>
              <w:left w:val="nil"/>
              <w:bottom w:val="single" w:sz="4" w:space="0" w:color="auto"/>
              <w:right w:val="single" w:sz="4" w:space="0" w:color="auto"/>
            </w:tcBorders>
            <w:shd w:val="clear" w:color="auto" w:fill="auto"/>
            <w:noWrap/>
            <w:vAlign w:val="bottom"/>
            <w:hideMark/>
          </w:tcPr>
          <w:p w14:paraId="2F624490"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0,05</w:t>
            </w:r>
          </w:p>
        </w:tc>
      </w:tr>
      <w:tr w:rsidR="00C842FA" w:rsidRPr="00161E04" w14:paraId="4292C904"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D5B59D4"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LIBERTY SEGUROS</w:t>
            </w:r>
          </w:p>
        </w:tc>
        <w:tc>
          <w:tcPr>
            <w:tcW w:w="1068" w:type="pct"/>
            <w:tcBorders>
              <w:top w:val="nil"/>
              <w:left w:val="nil"/>
              <w:bottom w:val="single" w:sz="4" w:space="0" w:color="auto"/>
              <w:right w:val="single" w:sz="4" w:space="0" w:color="auto"/>
            </w:tcBorders>
            <w:shd w:val="clear" w:color="auto" w:fill="auto"/>
            <w:noWrap/>
            <w:vAlign w:val="bottom"/>
            <w:hideMark/>
          </w:tcPr>
          <w:p w14:paraId="0491D716"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-0,44</w:t>
            </w:r>
          </w:p>
        </w:tc>
        <w:tc>
          <w:tcPr>
            <w:tcW w:w="1150" w:type="pct"/>
            <w:tcBorders>
              <w:top w:val="nil"/>
              <w:left w:val="nil"/>
              <w:bottom w:val="single" w:sz="4" w:space="0" w:color="auto"/>
              <w:right w:val="single" w:sz="4" w:space="0" w:color="auto"/>
            </w:tcBorders>
            <w:shd w:val="clear" w:color="auto" w:fill="auto"/>
            <w:noWrap/>
            <w:vAlign w:val="bottom"/>
            <w:hideMark/>
          </w:tcPr>
          <w:p w14:paraId="69F51BE4"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0,27</w:t>
            </w:r>
          </w:p>
        </w:tc>
        <w:tc>
          <w:tcPr>
            <w:tcW w:w="1060" w:type="pct"/>
            <w:tcBorders>
              <w:top w:val="nil"/>
              <w:left w:val="nil"/>
              <w:bottom w:val="single" w:sz="4" w:space="0" w:color="auto"/>
              <w:right w:val="single" w:sz="4" w:space="0" w:color="auto"/>
            </w:tcBorders>
            <w:shd w:val="clear" w:color="auto" w:fill="auto"/>
            <w:noWrap/>
            <w:vAlign w:val="bottom"/>
            <w:hideMark/>
          </w:tcPr>
          <w:p w14:paraId="7B3BDCC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0,28</w:t>
            </w:r>
          </w:p>
        </w:tc>
      </w:tr>
      <w:tr w:rsidR="00C842FA" w:rsidRPr="00161E04" w14:paraId="346036CA"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143673CD"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MAPFRE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08052EA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0,03</w:t>
            </w:r>
          </w:p>
        </w:tc>
        <w:tc>
          <w:tcPr>
            <w:tcW w:w="1150" w:type="pct"/>
            <w:tcBorders>
              <w:top w:val="nil"/>
              <w:left w:val="nil"/>
              <w:bottom w:val="single" w:sz="4" w:space="0" w:color="auto"/>
              <w:right w:val="single" w:sz="4" w:space="0" w:color="auto"/>
            </w:tcBorders>
            <w:shd w:val="clear" w:color="auto" w:fill="auto"/>
            <w:noWrap/>
            <w:vAlign w:val="bottom"/>
            <w:hideMark/>
          </w:tcPr>
          <w:p w14:paraId="49DC8D5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0,02</w:t>
            </w:r>
          </w:p>
        </w:tc>
        <w:tc>
          <w:tcPr>
            <w:tcW w:w="1060" w:type="pct"/>
            <w:tcBorders>
              <w:top w:val="nil"/>
              <w:left w:val="nil"/>
              <w:bottom w:val="single" w:sz="4" w:space="0" w:color="auto"/>
              <w:right w:val="single" w:sz="4" w:space="0" w:color="auto"/>
            </w:tcBorders>
            <w:shd w:val="clear" w:color="auto" w:fill="auto"/>
            <w:noWrap/>
            <w:vAlign w:val="bottom"/>
            <w:hideMark/>
          </w:tcPr>
          <w:p w14:paraId="2D2660E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r>
      <w:tr w:rsidR="00C842FA" w:rsidRPr="00161E04" w14:paraId="1318ACC6"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A22B80D"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MUNDIAL DE SEGUROS</w:t>
            </w:r>
          </w:p>
        </w:tc>
        <w:tc>
          <w:tcPr>
            <w:tcW w:w="1068" w:type="pct"/>
            <w:tcBorders>
              <w:top w:val="nil"/>
              <w:left w:val="nil"/>
              <w:bottom w:val="single" w:sz="4" w:space="0" w:color="auto"/>
              <w:right w:val="single" w:sz="4" w:space="0" w:color="auto"/>
            </w:tcBorders>
            <w:shd w:val="clear" w:color="auto" w:fill="auto"/>
            <w:noWrap/>
            <w:vAlign w:val="bottom"/>
            <w:hideMark/>
          </w:tcPr>
          <w:p w14:paraId="50FBAE4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0,23</w:t>
            </w:r>
          </w:p>
        </w:tc>
        <w:tc>
          <w:tcPr>
            <w:tcW w:w="1150" w:type="pct"/>
            <w:tcBorders>
              <w:top w:val="nil"/>
              <w:left w:val="nil"/>
              <w:bottom w:val="single" w:sz="4" w:space="0" w:color="auto"/>
              <w:right w:val="single" w:sz="4" w:space="0" w:color="auto"/>
            </w:tcBorders>
            <w:shd w:val="clear" w:color="auto" w:fill="auto"/>
            <w:noWrap/>
            <w:vAlign w:val="bottom"/>
            <w:hideMark/>
          </w:tcPr>
          <w:p w14:paraId="625AA92C"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0,32</w:t>
            </w:r>
          </w:p>
        </w:tc>
        <w:tc>
          <w:tcPr>
            <w:tcW w:w="1060" w:type="pct"/>
            <w:tcBorders>
              <w:top w:val="nil"/>
              <w:left w:val="nil"/>
              <w:bottom w:val="single" w:sz="4" w:space="0" w:color="auto"/>
              <w:right w:val="single" w:sz="4" w:space="0" w:color="auto"/>
            </w:tcBorders>
            <w:shd w:val="clear" w:color="auto" w:fill="auto"/>
            <w:noWrap/>
            <w:vAlign w:val="bottom"/>
            <w:hideMark/>
          </w:tcPr>
          <w:p w14:paraId="4B18D7B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0,12</w:t>
            </w:r>
          </w:p>
        </w:tc>
      </w:tr>
      <w:tr w:rsidR="00C842FA" w:rsidRPr="00161E04" w14:paraId="346374B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34A8F63B"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PREVISORA</w:t>
            </w:r>
          </w:p>
        </w:tc>
        <w:tc>
          <w:tcPr>
            <w:tcW w:w="1068" w:type="pct"/>
            <w:tcBorders>
              <w:top w:val="nil"/>
              <w:left w:val="nil"/>
              <w:bottom w:val="single" w:sz="4" w:space="0" w:color="auto"/>
              <w:right w:val="single" w:sz="4" w:space="0" w:color="auto"/>
            </w:tcBorders>
            <w:shd w:val="clear" w:color="auto" w:fill="auto"/>
            <w:noWrap/>
            <w:vAlign w:val="bottom"/>
            <w:hideMark/>
          </w:tcPr>
          <w:p w14:paraId="50FB082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150" w:type="pct"/>
            <w:tcBorders>
              <w:top w:val="nil"/>
              <w:left w:val="nil"/>
              <w:bottom w:val="single" w:sz="4" w:space="0" w:color="auto"/>
              <w:right w:val="single" w:sz="4" w:space="0" w:color="auto"/>
            </w:tcBorders>
            <w:shd w:val="clear" w:color="auto" w:fill="auto"/>
            <w:noWrap/>
            <w:vAlign w:val="bottom"/>
            <w:hideMark/>
          </w:tcPr>
          <w:p w14:paraId="4974AE6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0,17</w:t>
            </w:r>
          </w:p>
        </w:tc>
        <w:tc>
          <w:tcPr>
            <w:tcW w:w="1060" w:type="pct"/>
            <w:tcBorders>
              <w:top w:val="nil"/>
              <w:left w:val="nil"/>
              <w:bottom w:val="single" w:sz="4" w:space="0" w:color="auto"/>
              <w:right w:val="single" w:sz="4" w:space="0" w:color="auto"/>
            </w:tcBorders>
            <w:shd w:val="clear" w:color="auto" w:fill="auto"/>
            <w:noWrap/>
            <w:vAlign w:val="bottom"/>
            <w:hideMark/>
          </w:tcPr>
          <w:p w14:paraId="1C52ED3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0,14</w:t>
            </w:r>
          </w:p>
        </w:tc>
      </w:tr>
      <w:tr w:rsidR="00C842FA" w:rsidRPr="00161E04" w14:paraId="6FB4E865"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668104C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SBS SEGUROS COLOMBIA</w:t>
            </w:r>
          </w:p>
        </w:tc>
        <w:tc>
          <w:tcPr>
            <w:tcW w:w="1068" w:type="pct"/>
            <w:tcBorders>
              <w:top w:val="nil"/>
              <w:left w:val="nil"/>
              <w:bottom w:val="single" w:sz="4" w:space="0" w:color="auto"/>
              <w:right w:val="single" w:sz="4" w:space="0" w:color="auto"/>
            </w:tcBorders>
            <w:shd w:val="clear" w:color="auto" w:fill="auto"/>
            <w:noWrap/>
            <w:vAlign w:val="bottom"/>
            <w:hideMark/>
          </w:tcPr>
          <w:p w14:paraId="7EA1ACB2"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0,05</w:t>
            </w:r>
          </w:p>
        </w:tc>
        <w:tc>
          <w:tcPr>
            <w:tcW w:w="1150" w:type="pct"/>
            <w:tcBorders>
              <w:top w:val="nil"/>
              <w:left w:val="nil"/>
              <w:bottom w:val="single" w:sz="4" w:space="0" w:color="auto"/>
              <w:right w:val="single" w:sz="4" w:space="0" w:color="auto"/>
            </w:tcBorders>
            <w:shd w:val="clear" w:color="auto" w:fill="auto"/>
            <w:noWrap/>
            <w:vAlign w:val="bottom"/>
            <w:hideMark/>
          </w:tcPr>
          <w:p w14:paraId="1B6B1769"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0,17</w:t>
            </w:r>
          </w:p>
        </w:tc>
        <w:tc>
          <w:tcPr>
            <w:tcW w:w="1060" w:type="pct"/>
            <w:tcBorders>
              <w:top w:val="nil"/>
              <w:left w:val="nil"/>
              <w:bottom w:val="single" w:sz="4" w:space="0" w:color="auto"/>
              <w:right w:val="single" w:sz="4" w:space="0" w:color="auto"/>
            </w:tcBorders>
            <w:shd w:val="clear" w:color="auto" w:fill="auto"/>
            <w:noWrap/>
            <w:vAlign w:val="bottom"/>
            <w:hideMark/>
          </w:tcPr>
          <w:p w14:paraId="766DDC9A"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-0,01</w:t>
            </w:r>
          </w:p>
        </w:tc>
      </w:tr>
      <w:tr w:rsidR="00C842FA" w:rsidRPr="00161E04" w14:paraId="5DCFE586"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A444CA0"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SEGUROS DEL ESTADO</w:t>
            </w:r>
          </w:p>
        </w:tc>
        <w:tc>
          <w:tcPr>
            <w:tcW w:w="1068" w:type="pct"/>
            <w:tcBorders>
              <w:top w:val="nil"/>
              <w:left w:val="nil"/>
              <w:bottom w:val="single" w:sz="4" w:space="0" w:color="auto"/>
              <w:right w:val="single" w:sz="4" w:space="0" w:color="auto"/>
            </w:tcBorders>
            <w:shd w:val="clear" w:color="auto" w:fill="auto"/>
            <w:noWrap/>
            <w:vAlign w:val="bottom"/>
            <w:hideMark/>
          </w:tcPr>
          <w:p w14:paraId="793C592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0,74</w:t>
            </w:r>
          </w:p>
        </w:tc>
        <w:tc>
          <w:tcPr>
            <w:tcW w:w="1150" w:type="pct"/>
            <w:tcBorders>
              <w:top w:val="nil"/>
              <w:left w:val="nil"/>
              <w:bottom w:val="single" w:sz="4" w:space="0" w:color="auto"/>
              <w:right w:val="single" w:sz="4" w:space="0" w:color="auto"/>
            </w:tcBorders>
            <w:shd w:val="clear" w:color="auto" w:fill="auto"/>
            <w:noWrap/>
            <w:vAlign w:val="bottom"/>
            <w:hideMark/>
          </w:tcPr>
          <w:p w14:paraId="1B364FB8"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0,81</w:t>
            </w:r>
          </w:p>
        </w:tc>
        <w:tc>
          <w:tcPr>
            <w:tcW w:w="1060" w:type="pct"/>
            <w:tcBorders>
              <w:top w:val="nil"/>
              <w:left w:val="nil"/>
              <w:bottom w:val="single" w:sz="4" w:space="0" w:color="auto"/>
              <w:right w:val="single" w:sz="4" w:space="0" w:color="auto"/>
            </w:tcBorders>
            <w:shd w:val="clear" w:color="auto" w:fill="auto"/>
            <w:noWrap/>
            <w:vAlign w:val="bottom"/>
            <w:hideMark/>
          </w:tcPr>
          <w:p w14:paraId="0D9D1233"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1,11</w:t>
            </w:r>
          </w:p>
        </w:tc>
      </w:tr>
      <w:tr w:rsidR="00C842FA" w:rsidRPr="00161E04" w14:paraId="093D348A"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BA52BF6"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 xml:space="preserve">SOLIDARIA </w:t>
            </w:r>
          </w:p>
        </w:tc>
        <w:tc>
          <w:tcPr>
            <w:tcW w:w="1068" w:type="pct"/>
            <w:tcBorders>
              <w:top w:val="nil"/>
              <w:left w:val="nil"/>
              <w:bottom w:val="single" w:sz="4" w:space="0" w:color="auto"/>
              <w:right w:val="single" w:sz="4" w:space="0" w:color="auto"/>
            </w:tcBorders>
            <w:shd w:val="clear" w:color="auto" w:fill="auto"/>
            <w:noWrap/>
            <w:vAlign w:val="bottom"/>
            <w:hideMark/>
          </w:tcPr>
          <w:p w14:paraId="5A942D8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-0,40</w:t>
            </w:r>
          </w:p>
        </w:tc>
        <w:tc>
          <w:tcPr>
            <w:tcW w:w="1150" w:type="pct"/>
            <w:tcBorders>
              <w:top w:val="nil"/>
              <w:left w:val="nil"/>
              <w:bottom w:val="single" w:sz="4" w:space="0" w:color="auto"/>
              <w:right w:val="single" w:sz="4" w:space="0" w:color="auto"/>
            </w:tcBorders>
            <w:shd w:val="clear" w:color="auto" w:fill="auto"/>
            <w:noWrap/>
            <w:vAlign w:val="bottom"/>
            <w:hideMark/>
          </w:tcPr>
          <w:p w14:paraId="01A32727"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0,00</w:t>
            </w:r>
          </w:p>
        </w:tc>
        <w:tc>
          <w:tcPr>
            <w:tcW w:w="1060" w:type="pct"/>
            <w:tcBorders>
              <w:top w:val="nil"/>
              <w:left w:val="nil"/>
              <w:bottom w:val="single" w:sz="4" w:space="0" w:color="auto"/>
              <w:right w:val="single" w:sz="4" w:space="0" w:color="auto"/>
            </w:tcBorders>
            <w:shd w:val="clear" w:color="auto" w:fill="auto"/>
            <w:noWrap/>
            <w:vAlign w:val="bottom"/>
            <w:hideMark/>
          </w:tcPr>
          <w:p w14:paraId="6B21C2D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0,10</w:t>
            </w:r>
          </w:p>
        </w:tc>
      </w:tr>
      <w:tr w:rsidR="00C842FA" w:rsidRPr="00161E04" w14:paraId="47D5ADBB"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hideMark/>
          </w:tcPr>
          <w:p w14:paraId="0C153D38"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SURAMERICANA SEGUROS GENERALES</w:t>
            </w:r>
          </w:p>
        </w:tc>
        <w:tc>
          <w:tcPr>
            <w:tcW w:w="1068" w:type="pct"/>
            <w:tcBorders>
              <w:top w:val="nil"/>
              <w:left w:val="nil"/>
              <w:bottom w:val="single" w:sz="4" w:space="0" w:color="auto"/>
              <w:right w:val="single" w:sz="4" w:space="0" w:color="auto"/>
            </w:tcBorders>
            <w:shd w:val="clear" w:color="auto" w:fill="auto"/>
            <w:noWrap/>
            <w:vAlign w:val="bottom"/>
            <w:hideMark/>
          </w:tcPr>
          <w:p w14:paraId="25DA51D5"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0,06</w:t>
            </w:r>
          </w:p>
        </w:tc>
        <w:tc>
          <w:tcPr>
            <w:tcW w:w="1150" w:type="pct"/>
            <w:tcBorders>
              <w:top w:val="nil"/>
              <w:left w:val="nil"/>
              <w:bottom w:val="single" w:sz="4" w:space="0" w:color="auto"/>
              <w:right w:val="single" w:sz="4" w:space="0" w:color="auto"/>
            </w:tcBorders>
            <w:shd w:val="clear" w:color="auto" w:fill="auto"/>
            <w:noWrap/>
            <w:vAlign w:val="bottom"/>
            <w:hideMark/>
          </w:tcPr>
          <w:p w14:paraId="43820C9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0,12</w:t>
            </w:r>
          </w:p>
        </w:tc>
        <w:tc>
          <w:tcPr>
            <w:tcW w:w="1060" w:type="pct"/>
            <w:tcBorders>
              <w:top w:val="nil"/>
              <w:left w:val="nil"/>
              <w:bottom w:val="single" w:sz="4" w:space="0" w:color="auto"/>
              <w:right w:val="single" w:sz="4" w:space="0" w:color="auto"/>
            </w:tcBorders>
            <w:shd w:val="clear" w:color="auto" w:fill="auto"/>
            <w:noWrap/>
            <w:vAlign w:val="bottom"/>
            <w:hideMark/>
          </w:tcPr>
          <w:p w14:paraId="6F2A60EF"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8,76</w:t>
            </w:r>
          </w:p>
        </w:tc>
      </w:tr>
      <w:tr w:rsidR="00C842FA" w:rsidRPr="00161E04" w14:paraId="578E27C0" w14:textId="77777777" w:rsidTr="00161E04">
        <w:trPr>
          <w:trHeight w:val="142"/>
        </w:trPr>
        <w:tc>
          <w:tcPr>
            <w:tcW w:w="1722" w:type="pct"/>
            <w:tcBorders>
              <w:top w:val="nil"/>
              <w:left w:val="single" w:sz="4" w:space="0" w:color="auto"/>
              <w:bottom w:val="single" w:sz="4" w:space="0" w:color="auto"/>
              <w:right w:val="single" w:sz="4" w:space="0" w:color="auto"/>
            </w:tcBorders>
            <w:shd w:val="clear" w:color="auto" w:fill="auto"/>
            <w:vAlign w:val="center"/>
          </w:tcPr>
          <w:p w14:paraId="6B76B0FA" w14:textId="77777777" w:rsidR="00C842FA" w:rsidRPr="00161E04" w:rsidRDefault="00C842FA" w:rsidP="0070530E">
            <w:pPr>
              <w:spacing w:after="0" w:line="240" w:lineRule="auto"/>
              <w:jc w:val="center"/>
              <w:rPr>
                <w:rFonts w:cstheme="minorHAnsi"/>
                <w:sz w:val="18"/>
                <w:szCs w:val="18"/>
                <w:lang w:eastAsia="es-CO"/>
              </w:rPr>
            </w:pPr>
            <w:r w:rsidRPr="00161E04">
              <w:rPr>
                <w:rFonts w:cstheme="minorHAnsi"/>
                <w:sz w:val="18"/>
                <w:szCs w:val="18"/>
                <w:lang w:eastAsia="es-CO"/>
              </w:rPr>
              <w:t>ZURICH</w:t>
            </w:r>
          </w:p>
        </w:tc>
        <w:tc>
          <w:tcPr>
            <w:tcW w:w="1068" w:type="pct"/>
            <w:tcBorders>
              <w:top w:val="nil"/>
              <w:left w:val="nil"/>
              <w:bottom w:val="single" w:sz="4" w:space="0" w:color="auto"/>
              <w:right w:val="single" w:sz="4" w:space="0" w:color="auto"/>
            </w:tcBorders>
            <w:shd w:val="clear" w:color="auto" w:fill="auto"/>
            <w:noWrap/>
            <w:vAlign w:val="bottom"/>
          </w:tcPr>
          <w:p w14:paraId="4370630D"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-42,55</w:t>
            </w:r>
          </w:p>
        </w:tc>
        <w:tc>
          <w:tcPr>
            <w:tcW w:w="1150" w:type="pct"/>
            <w:tcBorders>
              <w:top w:val="nil"/>
              <w:left w:val="nil"/>
              <w:bottom w:val="single" w:sz="4" w:space="0" w:color="auto"/>
              <w:right w:val="single" w:sz="4" w:space="0" w:color="auto"/>
            </w:tcBorders>
            <w:shd w:val="clear" w:color="auto" w:fill="auto"/>
            <w:noWrap/>
            <w:vAlign w:val="bottom"/>
          </w:tcPr>
          <w:p w14:paraId="4994C9DB"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-0,33</w:t>
            </w:r>
          </w:p>
        </w:tc>
        <w:tc>
          <w:tcPr>
            <w:tcW w:w="1060" w:type="pct"/>
            <w:tcBorders>
              <w:top w:val="nil"/>
              <w:left w:val="nil"/>
              <w:bottom w:val="single" w:sz="4" w:space="0" w:color="auto"/>
              <w:right w:val="single" w:sz="4" w:space="0" w:color="auto"/>
            </w:tcBorders>
            <w:shd w:val="clear" w:color="auto" w:fill="auto"/>
            <w:noWrap/>
            <w:vAlign w:val="bottom"/>
          </w:tcPr>
          <w:p w14:paraId="6C10B21E" w14:textId="77777777" w:rsidR="00C842FA" w:rsidRPr="00161E04" w:rsidRDefault="00C842FA" w:rsidP="0070530E">
            <w:pPr>
              <w:spacing w:after="0" w:line="240" w:lineRule="auto"/>
              <w:jc w:val="center"/>
              <w:rPr>
                <w:rFonts w:cstheme="minorHAnsi"/>
                <w:color w:val="000000"/>
                <w:sz w:val="18"/>
                <w:szCs w:val="18"/>
                <w:lang w:eastAsia="es-CO"/>
              </w:rPr>
            </w:pPr>
            <w:r w:rsidRPr="00161E04">
              <w:rPr>
                <w:rFonts w:cstheme="minorHAnsi"/>
                <w:color w:val="000000"/>
                <w:sz w:val="18"/>
                <w:szCs w:val="18"/>
                <w:lang w:eastAsia="es-CO"/>
              </w:rPr>
              <w:t>-1,30</w:t>
            </w:r>
          </w:p>
        </w:tc>
      </w:tr>
    </w:tbl>
    <w:p w14:paraId="0397DE86" w14:textId="77777777" w:rsidR="00C842FA" w:rsidRPr="0070530E" w:rsidRDefault="00C842FA" w:rsidP="0070530E">
      <w:pPr>
        <w:spacing w:after="0" w:line="240" w:lineRule="auto"/>
        <w:jc w:val="both"/>
        <w:rPr>
          <w:rFonts w:eastAsia="Calibri" w:cstheme="minorHAnsi"/>
          <w:lang w:eastAsia="es-CO"/>
        </w:rPr>
      </w:pPr>
    </w:p>
    <w:p w14:paraId="67671F59" w14:textId="77777777" w:rsidR="00C842FA" w:rsidRPr="0070530E" w:rsidRDefault="00C842FA" w:rsidP="0070530E">
      <w:pPr>
        <w:spacing w:after="0" w:line="240" w:lineRule="auto"/>
        <w:jc w:val="both"/>
        <w:rPr>
          <w:rFonts w:eastAsia="Calibri" w:cstheme="minorHAnsi"/>
          <w:lang w:eastAsia="es-CO"/>
        </w:rPr>
      </w:pPr>
    </w:p>
    <w:tbl>
      <w:tblPr>
        <w:tblW w:w="5148" w:type="pct"/>
        <w:tblLayout w:type="fixed"/>
        <w:tblCellMar>
          <w:left w:w="70" w:type="dxa"/>
          <w:right w:w="70" w:type="dxa"/>
        </w:tblCellMar>
        <w:tblLook w:val="04A0" w:firstRow="1" w:lastRow="0" w:firstColumn="1" w:lastColumn="0" w:noHBand="0" w:noVBand="1"/>
      </w:tblPr>
      <w:tblGrid>
        <w:gridCol w:w="2585"/>
        <w:gridCol w:w="1639"/>
        <w:gridCol w:w="2260"/>
        <w:gridCol w:w="2261"/>
      </w:tblGrid>
      <w:tr w:rsidR="00C842FA" w:rsidRPr="00C068FD" w14:paraId="5BD355F3" w14:textId="77777777" w:rsidTr="00AE465E">
        <w:trPr>
          <w:trHeight w:val="237"/>
        </w:trPr>
        <w:tc>
          <w:tcPr>
            <w:tcW w:w="1478" w:type="pct"/>
            <w:vMerge w:val="restart"/>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7A2A7E8F"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ASEGURADORA</w:t>
            </w:r>
          </w:p>
        </w:tc>
        <w:tc>
          <w:tcPr>
            <w:tcW w:w="3522" w:type="pct"/>
            <w:gridSpan w:val="3"/>
            <w:tcBorders>
              <w:top w:val="single" w:sz="4" w:space="0" w:color="2F75B5"/>
              <w:left w:val="nil"/>
              <w:bottom w:val="single" w:sz="4" w:space="0" w:color="2F75B5"/>
              <w:right w:val="single" w:sz="4" w:space="0" w:color="2F75B5"/>
            </w:tcBorders>
            <w:shd w:val="clear" w:color="auto" w:fill="FF0000"/>
            <w:vAlign w:val="center"/>
            <w:hideMark/>
          </w:tcPr>
          <w:p w14:paraId="4B461D00"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RENTABILIDAD DEL ACTIVO</w:t>
            </w:r>
          </w:p>
        </w:tc>
      </w:tr>
      <w:tr w:rsidR="00C842FA" w:rsidRPr="00C068FD" w14:paraId="3D116624" w14:textId="77777777" w:rsidTr="00AE465E">
        <w:trPr>
          <w:trHeight w:val="237"/>
        </w:trPr>
        <w:tc>
          <w:tcPr>
            <w:tcW w:w="1478" w:type="pct"/>
            <w:vMerge/>
            <w:tcBorders>
              <w:top w:val="single" w:sz="4" w:space="0" w:color="2F75B5"/>
              <w:left w:val="single" w:sz="4" w:space="0" w:color="2F75B5"/>
              <w:bottom w:val="single" w:sz="4" w:space="0" w:color="2F75B5"/>
              <w:right w:val="single" w:sz="4" w:space="0" w:color="2F75B5"/>
            </w:tcBorders>
            <w:shd w:val="clear" w:color="auto" w:fill="FF0000"/>
            <w:vAlign w:val="center"/>
            <w:hideMark/>
          </w:tcPr>
          <w:p w14:paraId="55953A05" w14:textId="77777777" w:rsidR="00C842FA" w:rsidRPr="007413C9" w:rsidRDefault="00C842FA" w:rsidP="0070530E">
            <w:pPr>
              <w:spacing w:after="0" w:line="240" w:lineRule="auto"/>
              <w:rPr>
                <w:rFonts w:cstheme="minorHAnsi"/>
                <w:b/>
                <w:bCs/>
                <w:color w:val="FFFFFF"/>
                <w:sz w:val="18"/>
                <w:szCs w:val="18"/>
                <w:lang w:eastAsia="es-CO"/>
              </w:rPr>
            </w:pPr>
          </w:p>
        </w:tc>
        <w:tc>
          <w:tcPr>
            <w:tcW w:w="937" w:type="pct"/>
            <w:tcBorders>
              <w:top w:val="nil"/>
              <w:left w:val="nil"/>
              <w:bottom w:val="single" w:sz="4" w:space="0" w:color="2F75B5"/>
              <w:right w:val="single" w:sz="4" w:space="0" w:color="2F75B5"/>
            </w:tcBorders>
            <w:shd w:val="clear" w:color="auto" w:fill="FF0000"/>
            <w:vAlign w:val="center"/>
            <w:hideMark/>
          </w:tcPr>
          <w:p w14:paraId="58DFBD7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2021</w:t>
            </w:r>
          </w:p>
        </w:tc>
        <w:tc>
          <w:tcPr>
            <w:tcW w:w="1292" w:type="pct"/>
            <w:tcBorders>
              <w:top w:val="nil"/>
              <w:left w:val="nil"/>
              <w:bottom w:val="single" w:sz="4" w:space="0" w:color="2F75B5"/>
              <w:right w:val="single" w:sz="4" w:space="0" w:color="2F75B5"/>
            </w:tcBorders>
            <w:shd w:val="clear" w:color="auto" w:fill="FF0000"/>
            <w:vAlign w:val="center"/>
            <w:hideMark/>
          </w:tcPr>
          <w:p w14:paraId="1A753EED"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2020</w:t>
            </w:r>
          </w:p>
        </w:tc>
        <w:tc>
          <w:tcPr>
            <w:tcW w:w="1292" w:type="pct"/>
            <w:tcBorders>
              <w:top w:val="nil"/>
              <w:left w:val="nil"/>
              <w:bottom w:val="single" w:sz="4" w:space="0" w:color="2F75B5"/>
              <w:right w:val="single" w:sz="4" w:space="0" w:color="2F75B5"/>
            </w:tcBorders>
            <w:shd w:val="clear" w:color="auto" w:fill="FF0000"/>
            <w:vAlign w:val="center"/>
            <w:hideMark/>
          </w:tcPr>
          <w:p w14:paraId="1EFBCDC3" w14:textId="77777777" w:rsidR="00C842FA" w:rsidRPr="007413C9" w:rsidRDefault="00C842FA" w:rsidP="0070530E">
            <w:pPr>
              <w:spacing w:after="0" w:line="240" w:lineRule="auto"/>
              <w:jc w:val="center"/>
              <w:rPr>
                <w:rFonts w:cstheme="minorHAnsi"/>
                <w:b/>
                <w:bCs/>
                <w:color w:val="FFFFFF"/>
                <w:sz w:val="18"/>
                <w:szCs w:val="18"/>
                <w:lang w:eastAsia="es-CO"/>
              </w:rPr>
            </w:pPr>
            <w:r w:rsidRPr="007413C9">
              <w:rPr>
                <w:rFonts w:cstheme="minorHAnsi"/>
                <w:b/>
                <w:bCs/>
                <w:color w:val="FFFFFF"/>
                <w:sz w:val="18"/>
                <w:szCs w:val="18"/>
                <w:lang w:eastAsia="es-CO"/>
              </w:rPr>
              <w:t>2019</w:t>
            </w:r>
          </w:p>
        </w:tc>
      </w:tr>
      <w:tr w:rsidR="00C842FA" w:rsidRPr="00C068FD" w14:paraId="37511CF7" w14:textId="77777777" w:rsidTr="00AE465E">
        <w:trPr>
          <w:trHeight w:val="237"/>
        </w:trPr>
        <w:tc>
          <w:tcPr>
            <w:tcW w:w="1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844A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ALLIANZ</w:t>
            </w:r>
          </w:p>
        </w:tc>
        <w:tc>
          <w:tcPr>
            <w:tcW w:w="937" w:type="pct"/>
            <w:tcBorders>
              <w:top w:val="single" w:sz="4" w:space="0" w:color="auto"/>
              <w:left w:val="nil"/>
              <w:bottom w:val="single" w:sz="4" w:space="0" w:color="auto"/>
              <w:right w:val="single" w:sz="4" w:space="0" w:color="auto"/>
            </w:tcBorders>
            <w:shd w:val="clear" w:color="auto" w:fill="auto"/>
            <w:noWrap/>
            <w:vAlign w:val="bottom"/>
            <w:hideMark/>
          </w:tcPr>
          <w:p w14:paraId="09BF734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10B5F06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single" w:sz="4" w:space="0" w:color="auto"/>
              <w:left w:val="nil"/>
              <w:bottom w:val="single" w:sz="4" w:space="0" w:color="auto"/>
              <w:right w:val="single" w:sz="4" w:space="0" w:color="auto"/>
            </w:tcBorders>
            <w:shd w:val="clear" w:color="auto" w:fill="auto"/>
            <w:noWrap/>
            <w:vAlign w:val="bottom"/>
            <w:hideMark/>
          </w:tcPr>
          <w:p w14:paraId="2ED4DDE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2A3E8F21"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DD0FEDB"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AXA COLPATRIA</w:t>
            </w:r>
          </w:p>
        </w:tc>
        <w:tc>
          <w:tcPr>
            <w:tcW w:w="937" w:type="pct"/>
            <w:tcBorders>
              <w:top w:val="nil"/>
              <w:left w:val="nil"/>
              <w:bottom w:val="single" w:sz="4" w:space="0" w:color="auto"/>
              <w:right w:val="single" w:sz="4" w:space="0" w:color="auto"/>
            </w:tcBorders>
            <w:shd w:val="clear" w:color="auto" w:fill="auto"/>
            <w:noWrap/>
            <w:vAlign w:val="bottom"/>
            <w:hideMark/>
          </w:tcPr>
          <w:p w14:paraId="15CDEA3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79EB42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0,04</w:t>
            </w:r>
          </w:p>
        </w:tc>
        <w:tc>
          <w:tcPr>
            <w:tcW w:w="1292" w:type="pct"/>
            <w:tcBorders>
              <w:top w:val="nil"/>
              <w:left w:val="nil"/>
              <w:bottom w:val="single" w:sz="4" w:space="0" w:color="auto"/>
              <w:right w:val="single" w:sz="4" w:space="0" w:color="auto"/>
            </w:tcBorders>
            <w:shd w:val="clear" w:color="auto" w:fill="auto"/>
            <w:noWrap/>
            <w:vAlign w:val="bottom"/>
            <w:hideMark/>
          </w:tcPr>
          <w:p w14:paraId="3E71AE7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r>
      <w:tr w:rsidR="00C842FA" w:rsidRPr="00C068FD" w14:paraId="0BDD78FC"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D05A98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CHUBB DE COLOMBIA</w:t>
            </w:r>
          </w:p>
        </w:tc>
        <w:tc>
          <w:tcPr>
            <w:tcW w:w="937" w:type="pct"/>
            <w:tcBorders>
              <w:top w:val="nil"/>
              <w:left w:val="nil"/>
              <w:bottom w:val="single" w:sz="4" w:space="0" w:color="auto"/>
              <w:right w:val="single" w:sz="4" w:space="0" w:color="auto"/>
            </w:tcBorders>
            <w:shd w:val="clear" w:color="auto" w:fill="auto"/>
            <w:noWrap/>
            <w:vAlign w:val="bottom"/>
            <w:hideMark/>
          </w:tcPr>
          <w:p w14:paraId="1D46416B"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2B486C61"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0,05</w:t>
            </w:r>
          </w:p>
        </w:tc>
        <w:tc>
          <w:tcPr>
            <w:tcW w:w="1292" w:type="pct"/>
            <w:tcBorders>
              <w:top w:val="nil"/>
              <w:left w:val="nil"/>
              <w:bottom w:val="single" w:sz="4" w:space="0" w:color="auto"/>
              <w:right w:val="single" w:sz="4" w:space="0" w:color="auto"/>
            </w:tcBorders>
            <w:shd w:val="clear" w:color="auto" w:fill="auto"/>
            <w:noWrap/>
            <w:vAlign w:val="bottom"/>
            <w:hideMark/>
          </w:tcPr>
          <w:p w14:paraId="14729C2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217F8B2D"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4A7715D7"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HDI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558DBF1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39E86AA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244FB92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3A0FE9DE"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50B0E0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LIBERTY SEGUROS</w:t>
            </w:r>
          </w:p>
        </w:tc>
        <w:tc>
          <w:tcPr>
            <w:tcW w:w="937" w:type="pct"/>
            <w:tcBorders>
              <w:top w:val="nil"/>
              <w:left w:val="nil"/>
              <w:bottom w:val="single" w:sz="4" w:space="0" w:color="auto"/>
              <w:right w:val="single" w:sz="4" w:space="0" w:color="auto"/>
            </w:tcBorders>
            <w:shd w:val="clear" w:color="auto" w:fill="auto"/>
            <w:noWrap/>
            <w:vAlign w:val="bottom"/>
            <w:hideMark/>
          </w:tcPr>
          <w:p w14:paraId="0426ADE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c>
          <w:tcPr>
            <w:tcW w:w="1292" w:type="pct"/>
            <w:tcBorders>
              <w:top w:val="nil"/>
              <w:left w:val="nil"/>
              <w:bottom w:val="single" w:sz="4" w:space="0" w:color="auto"/>
              <w:right w:val="single" w:sz="4" w:space="0" w:color="auto"/>
            </w:tcBorders>
            <w:shd w:val="clear" w:color="auto" w:fill="auto"/>
            <w:noWrap/>
            <w:vAlign w:val="bottom"/>
            <w:hideMark/>
          </w:tcPr>
          <w:p w14:paraId="5AE9BAE6"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c>
          <w:tcPr>
            <w:tcW w:w="1292" w:type="pct"/>
            <w:tcBorders>
              <w:top w:val="nil"/>
              <w:left w:val="nil"/>
              <w:bottom w:val="single" w:sz="4" w:space="0" w:color="auto"/>
              <w:right w:val="single" w:sz="4" w:space="0" w:color="auto"/>
            </w:tcBorders>
            <w:shd w:val="clear" w:color="auto" w:fill="auto"/>
            <w:noWrap/>
            <w:vAlign w:val="bottom"/>
            <w:hideMark/>
          </w:tcPr>
          <w:p w14:paraId="53B3F6C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r>
      <w:tr w:rsidR="00C842FA" w:rsidRPr="00C068FD" w14:paraId="269DC09E"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F8BC9DC"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MAPFRE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00CBB91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22887BBA"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68FF564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C068FD" w14:paraId="688997A6"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CF32EE4"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MUNDIAL DE SEGUROS</w:t>
            </w:r>
          </w:p>
        </w:tc>
        <w:tc>
          <w:tcPr>
            <w:tcW w:w="937" w:type="pct"/>
            <w:tcBorders>
              <w:top w:val="nil"/>
              <w:left w:val="nil"/>
              <w:bottom w:val="single" w:sz="4" w:space="0" w:color="auto"/>
              <w:right w:val="single" w:sz="4" w:space="0" w:color="auto"/>
            </w:tcBorders>
            <w:shd w:val="clear" w:color="auto" w:fill="auto"/>
            <w:noWrap/>
            <w:vAlign w:val="bottom"/>
            <w:hideMark/>
          </w:tcPr>
          <w:p w14:paraId="685A8AD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748E164D"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nil"/>
              <w:left w:val="nil"/>
              <w:bottom w:val="single" w:sz="4" w:space="0" w:color="auto"/>
              <w:right w:val="single" w:sz="4" w:space="0" w:color="auto"/>
            </w:tcBorders>
            <w:shd w:val="clear" w:color="auto" w:fill="auto"/>
            <w:noWrap/>
            <w:vAlign w:val="bottom"/>
            <w:hideMark/>
          </w:tcPr>
          <w:p w14:paraId="09FA75E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r>
      <w:tr w:rsidR="00C842FA" w:rsidRPr="00C068FD" w14:paraId="49A6CE12"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18BA3C2"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PREVISORA</w:t>
            </w:r>
          </w:p>
        </w:tc>
        <w:tc>
          <w:tcPr>
            <w:tcW w:w="937" w:type="pct"/>
            <w:tcBorders>
              <w:top w:val="nil"/>
              <w:left w:val="nil"/>
              <w:bottom w:val="single" w:sz="4" w:space="0" w:color="auto"/>
              <w:right w:val="single" w:sz="4" w:space="0" w:color="auto"/>
            </w:tcBorders>
            <w:shd w:val="clear" w:color="auto" w:fill="auto"/>
            <w:noWrap/>
            <w:vAlign w:val="bottom"/>
            <w:hideMark/>
          </w:tcPr>
          <w:p w14:paraId="651604E5"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8C6A09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c>
          <w:tcPr>
            <w:tcW w:w="1292" w:type="pct"/>
            <w:tcBorders>
              <w:top w:val="nil"/>
              <w:left w:val="nil"/>
              <w:bottom w:val="single" w:sz="4" w:space="0" w:color="auto"/>
              <w:right w:val="single" w:sz="4" w:space="0" w:color="auto"/>
            </w:tcBorders>
            <w:shd w:val="clear" w:color="auto" w:fill="auto"/>
            <w:noWrap/>
            <w:vAlign w:val="bottom"/>
            <w:hideMark/>
          </w:tcPr>
          <w:p w14:paraId="170C305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r>
      <w:tr w:rsidR="00C842FA" w:rsidRPr="00C068FD" w14:paraId="30FEB815"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1F3C744A"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SBS SEGUROS COLOMBIA</w:t>
            </w:r>
          </w:p>
        </w:tc>
        <w:tc>
          <w:tcPr>
            <w:tcW w:w="937" w:type="pct"/>
            <w:tcBorders>
              <w:top w:val="nil"/>
              <w:left w:val="nil"/>
              <w:bottom w:val="single" w:sz="4" w:space="0" w:color="auto"/>
              <w:right w:val="single" w:sz="4" w:space="0" w:color="auto"/>
            </w:tcBorders>
            <w:shd w:val="clear" w:color="auto" w:fill="auto"/>
            <w:noWrap/>
            <w:vAlign w:val="bottom"/>
            <w:hideMark/>
          </w:tcPr>
          <w:p w14:paraId="6D45F600"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2FFB43E7"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5568CFF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r>
      <w:tr w:rsidR="00C842FA" w:rsidRPr="00C068FD" w14:paraId="5F22DBA9"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6E8BB72"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SEGUROS DEL ESTADO</w:t>
            </w:r>
          </w:p>
        </w:tc>
        <w:tc>
          <w:tcPr>
            <w:tcW w:w="937" w:type="pct"/>
            <w:tcBorders>
              <w:top w:val="nil"/>
              <w:left w:val="nil"/>
              <w:bottom w:val="single" w:sz="4" w:space="0" w:color="auto"/>
              <w:right w:val="single" w:sz="4" w:space="0" w:color="auto"/>
            </w:tcBorders>
            <w:shd w:val="clear" w:color="auto" w:fill="auto"/>
            <w:noWrap/>
            <w:vAlign w:val="bottom"/>
            <w:hideMark/>
          </w:tcPr>
          <w:p w14:paraId="196BD8A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c>
          <w:tcPr>
            <w:tcW w:w="1292" w:type="pct"/>
            <w:tcBorders>
              <w:top w:val="nil"/>
              <w:left w:val="nil"/>
              <w:bottom w:val="single" w:sz="4" w:space="0" w:color="auto"/>
              <w:right w:val="single" w:sz="4" w:space="0" w:color="auto"/>
            </w:tcBorders>
            <w:shd w:val="clear" w:color="auto" w:fill="auto"/>
            <w:noWrap/>
            <w:vAlign w:val="bottom"/>
            <w:hideMark/>
          </w:tcPr>
          <w:p w14:paraId="59629EF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0,12</w:t>
            </w:r>
          </w:p>
        </w:tc>
        <w:tc>
          <w:tcPr>
            <w:tcW w:w="1292" w:type="pct"/>
            <w:tcBorders>
              <w:top w:val="nil"/>
              <w:left w:val="nil"/>
              <w:bottom w:val="single" w:sz="4" w:space="0" w:color="auto"/>
              <w:right w:val="single" w:sz="4" w:space="0" w:color="auto"/>
            </w:tcBorders>
            <w:shd w:val="clear" w:color="auto" w:fill="auto"/>
            <w:noWrap/>
            <w:vAlign w:val="bottom"/>
            <w:hideMark/>
          </w:tcPr>
          <w:p w14:paraId="377A051C"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0,10</w:t>
            </w:r>
          </w:p>
        </w:tc>
      </w:tr>
      <w:tr w:rsidR="00C842FA" w:rsidRPr="00C068FD" w14:paraId="6ECFD035"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5751D017"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 xml:space="preserve">SOLIDARIA </w:t>
            </w:r>
          </w:p>
        </w:tc>
        <w:tc>
          <w:tcPr>
            <w:tcW w:w="937" w:type="pct"/>
            <w:tcBorders>
              <w:top w:val="nil"/>
              <w:left w:val="nil"/>
              <w:bottom w:val="single" w:sz="4" w:space="0" w:color="auto"/>
              <w:right w:val="single" w:sz="4" w:space="0" w:color="auto"/>
            </w:tcBorders>
            <w:shd w:val="clear" w:color="auto" w:fill="auto"/>
            <w:noWrap/>
            <w:vAlign w:val="bottom"/>
            <w:hideMark/>
          </w:tcPr>
          <w:p w14:paraId="78A8D932"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-0,08</w:t>
            </w:r>
          </w:p>
        </w:tc>
        <w:tc>
          <w:tcPr>
            <w:tcW w:w="1292" w:type="pct"/>
            <w:tcBorders>
              <w:top w:val="nil"/>
              <w:left w:val="nil"/>
              <w:bottom w:val="single" w:sz="4" w:space="0" w:color="auto"/>
              <w:right w:val="single" w:sz="4" w:space="0" w:color="auto"/>
            </w:tcBorders>
            <w:shd w:val="clear" w:color="auto" w:fill="auto"/>
            <w:noWrap/>
            <w:vAlign w:val="bottom"/>
            <w:hideMark/>
          </w:tcPr>
          <w:p w14:paraId="00A14103"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0,00</w:t>
            </w:r>
          </w:p>
        </w:tc>
        <w:tc>
          <w:tcPr>
            <w:tcW w:w="1292" w:type="pct"/>
            <w:tcBorders>
              <w:top w:val="nil"/>
              <w:left w:val="nil"/>
              <w:bottom w:val="single" w:sz="4" w:space="0" w:color="auto"/>
              <w:right w:val="single" w:sz="4" w:space="0" w:color="auto"/>
            </w:tcBorders>
            <w:shd w:val="clear" w:color="auto" w:fill="auto"/>
            <w:noWrap/>
            <w:vAlign w:val="bottom"/>
            <w:hideMark/>
          </w:tcPr>
          <w:p w14:paraId="4547CEA8"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0,03</w:t>
            </w:r>
          </w:p>
        </w:tc>
      </w:tr>
      <w:tr w:rsidR="00C842FA" w:rsidRPr="00C068FD" w14:paraId="09C86022"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35736A01" w14:textId="77777777" w:rsidR="00C842FA" w:rsidRPr="007413C9" w:rsidRDefault="00C842FA" w:rsidP="0070530E">
            <w:pPr>
              <w:spacing w:after="0" w:line="240" w:lineRule="auto"/>
              <w:jc w:val="center"/>
              <w:rPr>
                <w:rFonts w:cstheme="minorHAnsi"/>
                <w:sz w:val="18"/>
                <w:szCs w:val="18"/>
                <w:lang w:eastAsia="es-CO"/>
              </w:rPr>
            </w:pPr>
            <w:r w:rsidRPr="007413C9">
              <w:rPr>
                <w:rFonts w:cstheme="minorHAnsi"/>
                <w:sz w:val="18"/>
                <w:szCs w:val="18"/>
                <w:lang w:eastAsia="es-CO"/>
              </w:rPr>
              <w:t>SURAMERICANA SEGUROS GENERALES</w:t>
            </w:r>
          </w:p>
        </w:tc>
        <w:tc>
          <w:tcPr>
            <w:tcW w:w="937" w:type="pct"/>
            <w:tcBorders>
              <w:top w:val="nil"/>
              <w:left w:val="nil"/>
              <w:bottom w:val="single" w:sz="4" w:space="0" w:color="auto"/>
              <w:right w:val="single" w:sz="4" w:space="0" w:color="auto"/>
            </w:tcBorders>
            <w:shd w:val="clear" w:color="auto" w:fill="auto"/>
            <w:noWrap/>
            <w:vAlign w:val="bottom"/>
            <w:hideMark/>
          </w:tcPr>
          <w:p w14:paraId="27B67FCE"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0,01</w:t>
            </w:r>
          </w:p>
        </w:tc>
        <w:tc>
          <w:tcPr>
            <w:tcW w:w="1292" w:type="pct"/>
            <w:tcBorders>
              <w:top w:val="nil"/>
              <w:left w:val="nil"/>
              <w:bottom w:val="single" w:sz="4" w:space="0" w:color="auto"/>
              <w:right w:val="single" w:sz="4" w:space="0" w:color="auto"/>
            </w:tcBorders>
            <w:shd w:val="clear" w:color="auto" w:fill="auto"/>
            <w:noWrap/>
            <w:vAlign w:val="bottom"/>
            <w:hideMark/>
          </w:tcPr>
          <w:p w14:paraId="1F51DAB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0,02</w:t>
            </w:r>
          </w:p>
        </w:tc>
        <w:tc>
          <w:tcPr>
            <w:tcW w:w="1292" w:type="pct"/>
            <w:tcBorders>
              <w:top w:val="nil"/>
              <w:left w:val="nil"/>
              <w:bottom w:val="single" w:sz="4" w:space="0" w:color="auto"/>
              <w:right w:val="single" w:sz="4" w:space="0" w:color="auto"/>
            </w:tcBorders>
            <w:shd w:val="clear" w:color="auto" w:fill="auto"/>
            <w:noWrap/>
            <w:vAlign w:val="bottom"/>
            <w:hideMark/>
          </w:tcPr>
          <w:p w14:paraId="223FEF34" w14:textId="77777777" w:rsidR="00C842FA" w:rsidRPr="007413C9" w:rsidRDefault="00C842FA" w:rsidP="0070530E">
            <w:pPr>
              <w:spacing w:after="0" w:line="240" w:lineRule="auto"/>
              <w:jc w:val="center"/>
              <w:rPr>
                <w:rFonts w:cstheme="minorHAnsi"/>
                <w:color w:val="000000"/>
                <w:sz w:val="18"/>
                <w:szCs w:val="18"/>
                <w:lang w:eastAsia="es-CO"/>
              </w:rPr>
            </w:pPr>
            <w:r w:rsidRPr="007413C9">
              <w:rPr>
                <w:rFonts w:cstheme="minorHAnsi"/>
                <w:color w:val="000000"/>
                <w:sz w:val="18"/>
                <w:szCs w:val="18"/>
                <w:lang w:eastAsia="es-CO"/>
              </w:rPr>
              <w:t>1,25</w:t>
            </w:r>
          </w:p>
        </w:tc>
      </w:tr>
      <w:tr w:rsidR="00C842FA" w:rsidRPr="00C068FD" w14:paraId="6A25CD98" w14:textId="77777777" w:rsidTr="00AE465E">
        <w:trPr>
          <w:trHeight w:val="237"/>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671C9B57" w14:textId="77777777" w:rsidR="00C842FA" w:rsidRPr="007413C9" w:rsidRDefault="00C842FA" w:rsidP="0070530E">
            <w:pPr>
              <w:spacing w:after="0" w:line="240" w:lineRule="auto"/>
              <w:jc w:val="center"/>
              <w:rPr>
                <w:rFonts w:cstheme="minorHAnsi"/>
                <w:sz w:val="18"/>
                <w:szCs w:val="18"/>
                <w:highlight w:val="red"/>
                <w:lang w:eastAsia="es-CO"/>
              </w:rPr>
            </w:pPr>
            <w:r w:rsidRPr="007413C9">
              <w:rPr>
                <w:rFonts w:cstheme="minorHAnsi"/>
                <w:sz w:val="18"/>
                <w:szCs w:val="18"/>
                <w:lang w:eastAsia="es-CO"/>
              </w:rPr>
              <w:t>ZURICH</w:t>
            </w:r>
          </w:p>
        </w:tc>
        <w:tc>
          <w:tcPr>
            <w:tcW w:w="937" w:type="pct"/>
            <w:tcBorders>
              <w:top w:val="nil"/>
              <w:left w:val="nil"/>
              <w:bottom w:val="single" w:sz="4" w:space="0" w:color="auto"/>
              <w:right w:val="single" w:sz="4" w:space="0" w:color="auto"/>
            </w:tcBorders>
            <w:shd w:val="clear" w:color="auto" w:fill="auto"/>
            <w:noWrap/>
            <w:vAlign w:val="bottom"/>
            <w:hideMark/>
          </w:tcPr>
          <w:p w14:paraId="4F805223"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-4,18</w:t>
            </w:r>
          </w:p>
        </w:tc>
        <w:tc>
          <w:tcPr>
            <w:tcW w:w="1292" w:type="pct"/>
            <w:tcBorders>
              <w:top w:val="nil"/>
              <w:left w:val="nil"/>
              <w:bottom w:val="single" w:sz="4" w:space="0" w:color="auto"/>
              <w:right w:val="single" w:sz="4" w:space="0" w:color="auto"/>
            </w:tcBorders>
            <w:shd w:val="clear" w:color="auto" w:fill="auto"/>
            <w:noWrap/>
            <w:vAlign w:val="bottom"/>
            <w:hideMark/>
          </w:tcPr>
          <w:p w14:paraId="08DBFA62"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-0,04</w:t>
            </w:r>
          </w:p>
        </w:tc>
        <w:tc>
          <w:tcPr>
            <w:tcW w:w="1292" w:type="pct"/>
            <w:tcBorders>
              <w:top w:val="nil"/>
              <w:left w:val="nil"/>
              <w:bottom w:val="single" w:sz="4" w:space="0" w:color="auto"/>
              <w:right w:val="single" w:sz="4" w:space="0" w:color="auto"/>
            </w:tcBorders>
            <w:shd w:val="clear" w:color="auto" w:fill="auto"/>
            <w:noWrap/>
            <w:vAlign w:val="bottom"/>
            <w:hideMark/>
          </w:tcPr>
          <w:p w14:paraId="7A214A21" w14:textId="77777777" w:rsidR="00C842FA" w:rsidRPr="007413C9" w:rsidRDefault="00C842FA" w:rsidP="0070530E">
            <w:pPr>
              <w:spacing w:after="0" w:line="240" w:lineRule="auto"/>
              <w:jc w:val="center"/>
              <w:rPr>
                <w:rFonts w:cstheme="minorHAnsi"/>
                <w:color w:val="000000"/>
                <w:sz w:val="18"/>
                <w:szCs w:val="18"/>
                <w:highlight w:val="red"/>
                <w:lang w:eastAsia="es-CO"/>
              </w:rPr>
            </w:pPr>
            <w:r w:rsidRPr="007413C9">
              <w:rPr>
                <w:rFonts w:cstheme="minorHAnsi"/>
                <w:color w:val="000000"/>
                <w:sz w:val="18"/>
                <w:szCs w:val="18"/>
                <w:highlight w:val="red"/>
                <w:lang w:eastAsia="es-CO"/>
              </w:rPr>
              <w:t>-0,23</w:t>
            </w:r>
          </w:p>
        </w:tc>
      </w:tr>
    </w:tbl>
    <w:p w14:paraId="1AE1D70B" w14:textId="77777777" w:rsidR="00C068FD" w:rsidRDefault="00C068FD" w:rsidP="0070530E">
      <w:pPr>
        <w:spacing w:after="0" w:line="240" w:lineRule="auto"/>
        <w:jc w:val="center"/>
        <w:rPr>
          <w:rFonts w:eastAsia="Calibri" w:cstheme="minorHAnsi"/>
          <w:b/>
          <w:bCs/>
          <w:color w:val="000000"/>
          <w:highlight w:val="red"/>
        </w:rPr>
      </w:pPr>
    </w:p>
    <w:p w14:paraId="474D38EE" w14:textId="5B95BF89" w:rsidR="00C842FA" w:rsidRPr="00C068FD" w:rsidRDefault="00C842FA" w:rsidP="0070530E">
      <w:pPr>
        <w:spacing w:after="0" w:line="240" w:lineRule="auto"/>
        <w:jc w:val="center"/>
        <w:rPr>
          <w:rFonts w:eastAsia="Calibri" w:cstheme="minorHAnsi"/>
          <w:color w:val="000000"/>
          <w:sz w:val="16"/>
          <w:szCs w:val="16"/>
        </w:rPr>
      </w:pPr>
      <w:r w:rsidRPr="00C068FD">
        <w:rPr>
          <w:rFonts w:eastAsia="Calibri" w:cstheme="minorHAnsi"/>
          <w:b/>
          <w:bCs/>
          <w:color w:val="000000"/>
          <w:sz w:val="16"/>
          <w:szCs w:val="16"/>
        </w:rPr>
        <w:t xml:space="preserve">Fuente: </w:t>
      </w:r>
      <w:r w:rsidRPr="00C068FD">
        <w:rPr>
          <w:rFonts w:eastAsia="Calibri" w:cstheme="minorHAnsi"/>
          <w:color w:val="000000"/>
          <w:sz w:val="16"/>
          <w:szCs w:val="16"/>
        </w:rPr>
        <w:t>Registro Único de proponente -RUP, consultado por</w:t>
      </w:r>
      <w:r w:rsidRPr="00C068FD">
        <w:rPr>
          <w:rFonts w:cstheme="minorHAnsi"/>
          <w:sz w:val="16"/>
          <w:szCs w:val="16"/>
        </w:rPr>
        <w:t xml:space="preserve"> </w:t>
      </w:r>
      <w:r w:rsidRPr="00C068FD">
        <w:rPr>
          <w:rFonts w:eastAsia="Calibri" w:cstheme="minorHAnsi"/>
          <w:color w:val="000000"/>
          <w:sz w:val="16"/>
          <w:szCs w:val="16"/>
        </w:rPr>
        <w:t xml:space="preserve">AON </w:t>
      </w:r>
      <w:proofErr w:type="spellStart"/>
      <w:r w:rsidRPr="00C068FD">
        <w:rPr>
          <w:rFonts w:eastAsia="Calibri" w:cstheme="minorHAnsi"/>
          <w:color w:val="000000"/>
          <w:sz w:val="16"/>
          <w:szCs w:val="16"/>
        </w:rPr>
        <w:t>Risk</w:t>
      </w:r>
      <w:proofErr w:type="spellEnd"/>
      <w:r w:rsidRPr="00C068FD">
        <w:rPr>
          <w:rFonts w:eastAsia="Calibri" w:cstheme="minorHAnsi"/>
          <w:color w:val="000000"/>
          <w:sz w:val="16"/>
          <w:szCs w:val="16"/>
        </w:rPr>
        <w:t xml:space="preserve"> </w:t>
      </w:r>
      <w:proofErr w:type="spellStart"/>
      <w:r w:rsidRPr="00C068FD">
        <w:rPr>
          <w:rFonts w:eastAsia="Calibri" w:cstheme="minorHAnsi"/>
          <w:color w:val="000000"/>
          <w:sz w:val="16"/>
          <w:szCs w:val="16"/>
        </w:rPr>
        <w:t>Services</w:t>
      </w:r>
      <w:proofErr w:type="spellEnd"/>
      <w:r w:rsidRPr="00C068FD">
        <w:rPr>
          <w:rFonts w:eastAsia="Calibri" w:cstheme="minorHAnsi"/>
          <w:color w:val="000000"/>
          <w:sz w:val="16"/>
          <w:szCs w:val="16"/>
        </w:rPr>
        <w:t xml:space="preserve"> Colombia S.A. Corredor de Seguros</w:t>
      </w:r>
    </w:p>
    <w:p w14:paraId="788DCDD6" w14:textId="77777777" w:rsidR="00C842FA" w:rsidRPr="0070530E" w:rsidRDefault="00C842FA" w:rsidP="0070530E">
      <w:pPr>
        <w:autoSpaceDE w:val="0"/>
        <w:autoSpaceDN w:val="0"/>
        <w:adjustRightInd w:val="0"/>
        <w:spacing w:after="0" w:line="240" w:lineRule="auto"/>
        <w:jc w:val="both"/>
        <w:rPr>
          <w:rFonts w:eastAsia="ACaslonPro-Regular" w:cstheme="minorHAnsi"/>
        </w:rPr>
      </w:pPr>
    </w:p>
    <w:p w14:paraId="731E809A" w14:textId="318A95B4" w:rsidR="00C842FA" w:rsidRPr="0070530E" w:rsidRDefault="00C842FA" w:rsidP="0070530E">
      <w:pPr>
        <w:tabs>
          <w:tab w:val="left" w:pos="8100"/>
        </w:tabs>
        <w:spacing w:after="0" w:line="240" w:lineRule="auto"/>
        <w:jc w:val="both"/>
        <w:rPr>
          <w:rFonts w:cstheme="minorHAnsi"/>
        </w:rPr>
      </w:pPr>
      <w:bookmarkStart w:id="2" w:name="_Hlk90455779"/>
      <w:bookmarkStart w:id="3" w:name="_Hlk533685958"/>
      <w:r w:rsidRPr="0070530E">
        <w:rPr>
          <w:rFonts w:cstheme="minorHAnsi"/>
        </w:rPr>
        <w:t xml:space="preserve">El anterior análisis de indicadores financieros extractado de la información del registro único de proponentes de las entidades aseguradoras que comercializan seguros </w:t>
      </w:r>
      <w:r w:rsidR="006A6FC0" w:rsidRPr="0070530E">
        <w:rPr>
          <w:rFonts w:cstheme="minorHAnsi"/>
        </w:rPr>
        <w:t>generales correspondiente</w:t>
      </w:r>
      <w:r w:rsidRPr="0070530E">
        <w:rPr>
          <w:rFonts w:cstheme="minorHAnsi"/>
        </w:rPr>
        <w:t xml:space="preserve"> a los últimos 3 años según lo dispuesto en el decreto 579 del 2021 y el decreto 1041 de 2022 se determina que, para el presente proceso de licitación pública a realizar por parte de la </w:t>
      </w:r>
      <w:r w:rsidR="004013D1">
        <w:rPr>
          <w:rFonts w:cstheme="minorHAnsi"/>
        </w:rPr>
        <w:t>Universidad Distrital Francisco José de Caldas</w:t>
      </w:r>
      <w:r w:rsidRPr="0070530E">
        <w:rPr>
          <w:rFonts w:cstheme="minorHAnsi"/>
        </w:rPr>
        <w:t>, y de conformidad con los artículos 2.2.1.1.1.5.3. y 2.2.1.1.1.6.2. del Decreto 1082 de 2015, los siguientes indicadores financieros:</w:t>
      </w:r>
    </w:p>
    <w:bookmarkEnd w:id="2"/>
    <w:bookmarkEnd w:id="3"/>
    <w:p w14:paraId="597712CA"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Para la verificación de la capacidad financiera, los proponentes deberán presentar el Registro Único de Proponentes (RUP) expedido dentro de los treinta (30) días calendario anteriores al cierre del proceso de selección, por la Cámara de Comercio de la jurisdicción donde el oferente tenga su domicilio, conforme a lo establecido en el Artículo 2.2.1.1.1.5.3., numeral 3 del Decreto 1082 de 2015. La institución tomará los mejores indicadores de los últimos 3 años, los cuales se verificarán en el RUP de los proponentes en firme, de acuerdo con lo establecido en el Decreto 579 del 31 de mayo de 2021 y Decreto 1041 de 2022.</w:t>
      </w:r>
    </w:p>
    <w:p w14:paraId="4818A301"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74322C1C"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 xml:space="preserve">La verificación de cumplimiento consistirá en determinar si el proponente (sea persona jurídica, consorcio o unión temporal) cumple los requisitos mínimos financieros que el grupo asesor ha estimado suficientes para minimizar el riesgo durante el desarrollo y ejecución del contrato y en igual forma la solvencia de los proponentes. </w:t>
      </w:r>
    </w:p>
    <w:p w14:paraId="43D32AB4"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171A110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Los factores mínimos habilitantes en este proceso de selección serán:</w:t>
      </w:r>
    </w:p>
    <w:p w14:paraId="5E0C515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tbl>
      <w:tblPr>
        <w:tblStyle w:val="17"/>
        <w:tblW w:w="44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2804"/>
      </w:tblGrid>
      <w:tr w:rsidR="004013D1" w:rsidRPr="004013D1" w14:paraId="54DB4433" w14:textId="77777777" w:rsidTr="00C171B4">
        <w:trPr>
          <w:jc w:val="center"/>
        </w:trPr>
        <w:tc>
          <w:tcPr>
            <w:tcW w:w="1691" w:type="dxa"/>
          </w:tcPr>
          <w:p w14:paraId="19999D53"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b/>
                <w:position w:val="-1"/>
                <w:sz w:val="20"/>
                <w:szCs w:val="20"/>
                <w:lang w:val="es-ES" w:eastAsia="es-ES"/>
              </w:rPr>
              <w:t>FACTOR</w:t>
            </w:r>
          </w:p>
        </w:tc>
        <w:tc>
          <w:tcPr>
            <w:tcW w:w="2804" w:type="dxa"/>
          </w:tcPr>
          <w:p w14:paraId="35353266"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b/>
                <w:position w:val="-1"/>
                <w:sz w:val="20"/>
                <w:szCs w:val="20"/>
                <w:lang w:val="es-ES" w:eastAsia="es-ES"/>
              </w:rPr>
              <w:t>MINIMOS HABILITANTES</w:t>
            </w:r>
          </w:p>
        </w:tc>
      </w:tr>
      <w:tr w:rsidR="004013D1" w:rsidRPr="004013D1" w14:paraId="70B34CA0" w14:textId="77777777" w:rsidTr="00C171B4">
        <w:trPr>
          <w:jc w:val="center"/>
        </w:trPr>
        <w:tc>
          <w:tcPr>
            <w:tcW w:w="1691" w:type="dxa"/>
          </w:tcPr>
          <w:p w14:paraId="7AD44DDD"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Liquidez</w:t>
            </w:r>
          </w:p>
        </w:tc>
        <w:tc>
          <w:tcPr>
            <w:tcW w:w="2804" w:type="dxa"/>
          </w:tcPr>
          <w:p w14:paraId="3DBC025C"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&gt;= 1.0</w:t>
            </w:r>
          </w:p>
        </w:tc>
      </w:tr>
      <w:tr w:rsidR="004013D1" w:rsidRPr="004013D1" w14:paraId="5095D8E5" w14:textId="77777777" w:rsidTr="00C171B4">
        <w:trPr>
          <w:jc w:val="center"/>
        </w:trPr>
        <w:tc>
          <w:tcPr>
            <w:tcW w:w="1691" w:type="dxa"/>
          </w:tcPr>
          <w:p w14:paraId="298F81B9"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Endeudamiento</w:t>
            </w:r>
          </w:p>
        </w:tc>
        <w:tc>
          <w:tcPr>
            <w:tcW w:w="2804" w:type="dxa"/>
          </w:tcPr>
          <w:p w14:paraId="017069C2"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&lt;= 95 por ciento</w:t>
            </w:r>
          </w:p>
        </w:tc>
      </w:tr>
      <w:tr w:rsidR="004013D1" w:rsidRPr="004013D1" w14:paraId="06A5BDB7" w14:textId="77777777" w:rsidTr="00C171B4">
        <w:trPr>
          <w:jc w:val="center"/>
        </w:trPr>
        <w:tc>
          <w:tcPr>
            <w:tcW w:w="1691" w:type="dxa"/>
          </w:tcPr>
          <w:p w14:paraId="1FAEA37C" w14:textId="77777777" w:rsidR="004013D1" w:rsidRPr="004013D1" w:rsidRDefault="004013D1" w:rsidP="004013D1">
            <w:pPr>
              <w:suppressAutoHyphens/>
              <w:spacing w:after="0" w:line="240" w:lineRule="auto"/>
              <w:ind w:leftChars="-1" w:hangingChars="1" w:hanging="2"/>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Capital de Trabajo</w:t>
            </w:r>
          </w:p>
        </w:tc>
        <w:tc>
          <w:tcPr>
            <w:tcW w:w="2804" w:type="dxa"/>
          </w:tcPr>
          <w:p w14:paraId="09C28645" w14:textId="77777777" w:rsidR="004013D1" w:rsidRPr="004013D1" w:rsidRDefault="004013D1" w:rsidP="004013D1">
            <w:pPr>
              <w:suppressAutoHyphens/>
              <w:spacing w:after="0" w:line="240" w:lineRule="auto"/>
              <w:ind w:leftChars="-1" w:hangingChars="1" w:hanging="2"/>
              <w:jc w:val="center"/>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&gt;= 100% del Presupuesto oficial</w:t>
            </w:r>
          </w:p>
        </w:tc>
      </w:tr>
    </w:tbl>
    <w:p w14:paraId="1F6BD53F"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p>
    <w:p w14:paraId="06E09B78"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Para el caso de Consorcios, Uniones Temporales o Promesas de Sociedad Futura, se calcularán los factores con base en el promedio ponderado de los integrantes, de acuerdo con el porcentaje de participación de cada uno dentro del consorcio, de la unión temporal o de la promesa de sociedad futura.</w:t>
      </w:r>
    </w:p>
    <w:p w14:paraId="71B90C4E" w14:textId="77777777" w:rsidR="004013D1" w:rsidRPr="004013D1" w:rsidRDefault="004013D1" w:rsidP="004013D1">
      <w:pPr>
        <w:widowControl w:val="0"/>
        <w:tabs>
          <w:tab w:val="left" w:pos="1470"/>
        </w:tabs>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tab/>
      </w:r>
    </w:p>
    <w:p w14:paraId="6319F1A3" w14:textId="77777777" w:rsidR="004013D1" w:rsidRPr="004013D1" w:rsidRDefault="004013D1" w:rsidP="004013D1">
      <w:pPr>
        <w:suppressAutoHyphens/>
        <w:spacing w:after="0" w:line="240" w:lineRule="auto"/>
        <w:ind w:leftChars="-1" w:hangingChars="1" w:hanging="2"/>
        <w:jc w:val="both"/>
        <w:textDirection w:val="btLr"/>
        <w:textAlignment w:val="top"/>
        <w:outlineLvl w:val="0"/>
        <w:rPr>
          <w:rFonts w:ascii="Tahoma" w:eastAsia="Arial Narrow" w:hAnsi="Tahoma" w:cs="Tahoma"/>
          <w:position w:val="-1"/>
          <w:sz w:val="20"/>
          <w:szCs w:val="20"/>
          <w:lang w:val="es-ES" w:eastAsia="es-ES"/>
        </w:rPr>
      </w:pPr>
      <w:r w:rsidRPr="004013D1">
        <w:rPr>
          <w:rFonts w:ascii="Tahoma" w:eastAsia="Arial Narrow" w:hAnsi="Tahoma" w:cs="Tahoma"/>
          <w:position w:val="-1"/>
          <w:sz w:val="20"/>
          <w:szCs w:val="20"/>
          <w:lang w:val="es-ES" w:eastAsia="es-ES"/>
        </w:rPr>
        <w:lastRenderedPageBreak/>
        <w:t>NOTA: Si el proponente no cumple los factores mínimos establecidos en el Pliego de Condiciones, se considerará la propuesta como NO HABILITADA FINANCIERAMENTE Y, EN CONSECUENCIA, NO CONTINUARÁ EN EL PROCESO DE EVALUACIÓN.</w:t>
      </w:r>
    </w:p>
    <w:p w14:paraId="6D81A4F1" w14:textId="77777777" w:rsidR="00C07E9A" w:rsidRPr="004013D1" w:rsidRDefault="00C07E9A" w:rsidP="00155873">
      <w:pPr>
        <w:spacing w:after="0" w:line="240" w:lineRule="auto"/>
        <w:jc w:val="both"/>
        <w:rPr>
          <w:rFonts w:eastAsia="Calibri" w:cstheme="minorHAnsi"/>
          <w:b/>
          <w:bCs/>
          <w:lang w:val="es-ES"/>
        </w:rPr>
      </w:pPr>
    </w:p>
    <w:p w14:paraId="59BE82D2" w14:textId="004C8265" w:rsidR="00D356EB" w:rsidRPr="00735E21" w:rsidRDefault="00D356EB" w:rsidP="00735E21">
      <w:pPr>
        <w:pStyle w:val="Prrafodelista"/>
        <w:numPr>
          <w:ilvl w:val="1"/>
          <w:numId w:val="1"/>
        </w:numPr>
        <w:spacing w:after="0" w:line="240" w:lineRule="auto"/>
        <w:jc w:val="both"/>
        <w:rPr>
          <w:rFonts w:cstheme="minorHAnsi"/>
          <w:b/>
          <w:bCs/>
          <w:u w:val="single"/>
        </w:rPr>
      </w:pPr>
      <w:r w:rsidRPr="00735E21">
        <w:rPr>
          <w:rFonts w:cstheme="minorHAnsi"/>
          <w:b/>
          <w:bCs/>
          <w:u w:val="single"/>
        </w:rPr>
        <w:t>PERSPECTIVA TÉCNICA</w:t>
      </w:r>
    </w:p>
    <w:p w14:paraId="55178A20" w14:textId="77777777" w:rsidR="00921095" w:rsidRPr="00F25B58" w:rsidRDefault="00921095" w:rsidP="00921095">
      <w:pPr>
        <w:spacing w:after="0" w:line="240" w:lineRule="auto"/>
        <w:rPr>
          <w:rFonts w:eastAsia="Calibri" w:cstheme="minorHAnsi"/>
          <w:b/>
          <w:bCs/>
        </w:rPr>
      </w:pPr>
    </w:p>
    <w:p w14:paraId="66526A4F" w14:textId="2D529B2B" w:rsidR="00921095" w:rsidRPr="00F25B58" w:rsidRDefault="00921095" w:rsidP="00921095">
      <w:pPr>
        <w:spacing w:after="0" w:line="240" w:lineRule="auto"/>
        <w:jc w:val="both"/>
        <w:rPr>
          <w:rFonts w:eastAsia="Calibri" w:cstheme="minorHAnsi"/>
          <w:bCs/>
        </w:rPr>
      </w:pPr>
      <w:r w:rsidRPr="00F25B58">
        <w:rPr>
          <w:rFonts w:eastAsia="Calibri" w:cstheme="minorHAnsi"/>
          <w:bCs/>
        </w:rPr>
        <w:t>Tipos de seguros que deben contratar las Entidades Estatales dependiendo de su actividad y tipo de pérdidas:</w:t>
      </w:r>
    </w:p>
    <w:p w14:paraId="02C549B2" w14:textId="07262CE3" w:rsidR="00921095" w:rsidRDefault="00921095" w:rsidP="00921095">
      <w:pPr>
        <w:autoSpaceDE w:val="0"/>
        <w:autoSpaceDN w:val="0"/>
        <w:adjustRightInd w:val="0"/>
        <w:spacing w:after="0" w:line="240" w:lineRule="auto"/>
        <w:jc w:val="both"/>
        <w:rPr>
          <w:rFonts w:eastAsia="Calibri" w:cstheme="minorHAnsi"/>
          <w:b/>
          <w:bCs/>
        </w:rPr>
      </w:pPr>
    </w:p>
    <w:p w14:paraId="5E94C553" w14:textId="77777777" w:rsidR="00C83575" w:rsidRPr="00F25B58" w:rsidRDefault="00C83575" w:rsidP="00921095">
      <w:pPr>
        <w:autoSpaceDE w:val="0"/>
        <w:autoSpaceDN w:val="0"/>
        <w:adjustRightInd w:val="0"/>
        <w:spacing w:after="0" w:line="240" w:lineRule="auto"/>
        <w:jc w:val="both"/>
        <w:rPr>
          <w:rFonts w:eastAsia="Calibri" w:cstheme="minorHAnsi"/>
          <w:b/>
          <w:bCs/>
        </w:rPr>
      </w:pPr>
    </w:p>
    <w:p w14:paraId="65A8E1D7" w14:textId="77777777" w:rsidR="00921095" w:rsidRPr="00F25B58" w:rsidRDefault="00921095" w:rsidP="00921095">
      <w:pPr>
        <w:autoSpaceDE w:val="0"/>
        <w:autoSpaceDN w:val="0"/>
        <w:adjustRightInd w:val="0"/>
        <w:spacing w:after="0" w:line="240" w:lineRule="auto"/>
        <w:ind w:left="-142" w:right="-426"/>
        <w:jc w:val="center"/>
        <w:rPr>
          <w:rFonts w:eastAsia="Calibri" w:cstheme="minorHAnsi"/>
          <w:b/>
          <w:bCs/>
        </w:rPr>
      </w:pPr>
      <w:r w:rsidRPr="00F25B58">
        <w:rPr>
          <w:rFonts w:eastAsia="Calibri" w:cstheme="minorHAnsi"/>
          <w:b/>
          <w:bCs/>
          <w:noProof/>
          <w:lang w:eastAsia="es-CO"/>
        </w:rPr>
        <w:drawing>
          <wp:inline distT="0" distB="0" distL="0" distR="0" wp14:anchorId="148CC0DE" wp14:editId="7DA0A6FA">
            <wp:extent cx="4625789" cy="3242896"/>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6161" cy="3264188"/>
                    </a:xfrm>
                    <a:prstGeom prst="rect">
                      <a:avLst/>
                    </a:prstGeom>
                    <a:noFill/>
                  </pic:spPr>
                </pic:pic>
              </a:graphicData>
            </a:graphic>
          </wp:inline>
        </w:drawing>
      </w:r>
    </w:p>
    <w:p w14:paraId="1AECED72" w14:textId="77777777" w:rsidR="00921095" w:rsidRPr="00F25B58" w:rsidRDefault="00921095" w:rsidP="00921095">
      <w:pPr>
        <w:autoSpaceDE w:val="0"/>
        <w:autoSpaceDN w:val="0"/>
        <w:adjustRightInd w:val="0"/>
        <w:spacing w:after="0" w:line="240" w:lineRule="auto"/>
        <w:jc w:val="both"/>
        <w:rPr>
          <w:rFonts w:eastAsia="Calibri" w:cstheme="minorHAnsi"/>
          <w:b/>
          <w:bCs/>
        </w:rPr>
      </w:pPr>
    </w:p>
    <w:p w14:paraId="0E5DEDF5" w14:textId="5873F5B4" w:rsidR="00921095" w:rsidRPr="00F25B58" w:rsidRDefault="007F6939" w:rsidP="00F1398F">
      <w:pPr>
        <w:spacing w:after="160" w:line="259" w:lineRule="auto"/>
        <w:rPr>
          <w:rFonts w:eastAsia="ACaslonPro-Regular" w:cstheme="minorHAnsi"/>
          <w:b/>
          <w:lang w:val="es-ES" w:eastAsia="ar-SA"/>
        </w:rPr>
      </w:pPr>
      <w:r w:rsidRPr="00F25B58">
        <w:rPr>
          <w:rFonts w:eastAsia="ACaslonPro-Regular" w:cstheme="minorHAnsi"/>
          <w:b/>
          <w:lang w:val="es-ES" w:eastAsia="ar-SA"/>
        </w:rPr>
        <w:t>ASPECTOS ECONÓMICOS Y FINANCIEROS</w:t>
      </w:r>
    </w:p>
    <w:p w14:paraId="447E84AE" w14:textId="7B8557C3" w:rsidR="00921095" w:rsidRPr="00F25B58" w:rsidRDefault="00921095" w:rsidP="00921095">
      <w:pPr>
        <w:autoSpaceDE w:val="0"/>
        <w:autoSpaceDN w:val="0"/>
        <w:adjustRightInd w:val="0"/>
        <w:spacing w:after="0" w:line="240" w:lineRule="auto"/>
        <w:jc w:val="both"/>
        <w:rPr>
          <w:rFonts w:eastAsia="ACaslonPro-Regular" w:cstheme="minorHAnsi"/>
          <w:lang w:val="es-ES" w:eastAsia="es-ES"/>
        </w:rPr>
      </w:pPr>
    </w:p>
    <w:p w14:paraId="44B4D549" w14:textId="77777777" w:rsidR="00921095" w:rsidRPr="00F25B58" w:rsidRDefault="00921095" w:rsidP="00686FB2">
      <w:pPr>
        <w:spacing w:after="0" w:line="240" w:lineRule="auto"/>
        <w:contextualSpacing/>
        <w:jc w:val="both"/>
        <w:rPr>
          <w:rFonts w:eastAsia="Calibri" w:cstheme="minorHAnsi"/>
          <w:b/>
          <w:bCs/>
        </w:rPr>
      </w:pPr>
      <w:r w:rsidRPr="00F25B58">
        <w:rPr>
          <w:rFonts w:eastAsia="Calibri" w:cstheme="minorHAnsi"/>
          <w:b/>
          <w:bCs/>
        </w:rPr>
        <w:t>Factores que inciden en el Costo de los Seguros:</w:t>
      </w:r>
    </w:p>
    <w:p w14:paraId="686735B2" w14:textId="77777777" w:rsidR="00921095" w:rsidRPr="00F25B58" w:rsidRDefault="00921095" w:rsidP="00921095">
      <w:pPr>
        <w:autoSpaceDE w:val="0"/>
        <w:autoSpaceDN w:val="0"/>
        <w:adjustRightInd w:val="0"/>
        <w:spacing w:after="0" w:line="240" w:lineRule="auto"/>
        <w:rPr>
          <w:rFonts w:eastAsia="Calibri" w:cstheme="minorHAnsi"/>
        </w:rPr>
      </w:pPr>
    </w:p>
    <w:p w14:paraId="5A83E83F" w14:textId="1209EFB7" w:rsidR="00921095" w:rsidRPr="00F25B58" w:rsidRDefault="00921095" w:rsidP="00921095">
      <w:pPr>
        <w:autoSpaceDE w:val="0"/>
        <w:autoSpaceDN w:val="0"/>
        <w:adjustRightInd w:val="0"/>
        <w:spacing w:after="0" w:line="240" w:lineRule="auto"/>
        <w:jc w:val="both"/>
        <w:rPr>
          <w:rFonts w:eastAsia="Calibri" w:cstheme="minorHAnsi"/>
        </w:rPr>
      </w:pPr>
      <w:r w:rsidRPr="00F25B58">
        <w:rPr>
          <w:rFonts w:eastAsia="Calibri" w:cstheme="minorHAnsi"/>
        </w:rPr>
        <w:t xml:space="preserve">Para el cálculo de la prima de seguro en los programas de seguros en general y al igual para </w:t>
      </w:r>
      <w:r w:rsidR="00D34E78" w:rsidRPr="00F25B58">
        <w:rPr>
          <w:rFonts w:eastAsia="Calibri" w:cstheme="minorHAnsi"/>
        </w:rPr>
        <w:t xml:space="preserve">la </w:t>
      </w:r>
      <w:r w:rsidR="00686FB2" w:rsidRPr="00457E41">
        <w:rPr>
          <w:rFonts w:eastAsia="ACaslonPro-Regular" w:cstheme="minorHAnsi"/>
          <w:b/>
          <w:bCs/>
        </w:rPr>
        <w:t>Universidad Distrital Francisco José de Caldas</w:t>
      </w:r>
      <w:r w:rsidRPr="00F25B58">
        <w:rPr>
          <w:rFonts w:eastAsia="Calibri" w:cstheme="minorHAnsi"/>
        </w:rPr>
        <w:t>, no se cuenta con tarifas uniformes o valores de referencia, ya que las tasas para el cálculo de la prima que se han conseguido para las pólizas actuales, no necesariamente las vayan a ofrecer las mismas u otras compañías de seguros, quienes están en la libertad de aplicar las tasas o tarifas que les sea más conveniente en cada uno de los ramos o pólizas a contratar.</w:t>
      </w:r>
    </w:p>
    <w:p w14:paraId="11719906" w14:textId="77777777" w:rsidR="00921095" w:rsidRPr="00F25B58" w:rsidRDefault="00921095" w:rsidP="00921095">
      <w:pPr>
        <w:autoSpaceDE w:val="0"/>
        <w:autoSpaceDN w:val="0"/>
        <w:adjustRightInd w:val="0"/>
        <w:spacing w:after="0" w:line="240" w:lineRule="auto"/>
        <w:jc w:val="both"/>
        <w:rPr>
          <w:rFonts w:eastAsia="Calibri" w:cstheme="minorHAnsi"/>
        </w:rPr>
      </w:pPr>
    </w:p>
    <w:p w14:paraId="4E083061" w14:textId="77777777" w:rsidR="00921095" w:rsidRPr="00F25B58" w:rsidRDefault="00921095" w:rsidP="00921095">
      <w:pPr>
        <w:autoSpaceDE w:val="0"/>
        <w:autoSpaceDN w:val="0"/>
        <w:adjustRightInd w:val="0"/>
        <w:spacing w:after="0" w:line="240" w:lineRule="auto"/>
        <w:jc w:val="both"/>
        <w:rPr>
          <w:rFonts w:eastAsia="Calibri" w:cstheme="minorHAnsi"/>
        </w:rPr>
      </w:pPr>
      <w:r w:rsidRPr="00F25B58">
        <w:rPr>
          <w:rFonts w:eastAsia="Calibri" w:cstheme="minorHAnsi"/>
        </w:rPr>
        <w:t xml:space="preserve">Adicionalmente, el costo de cualquier seguro está influenciado por múltiples factores, entre los cuales podemos destacar: </w:t>
      </w:r>
    </w:p>
    <w:p w14:paraId="2B34D1BB" w14:textId="77777777" w:rsidR="00921095" w:rsidRPr="00F25B58" w:rsidRDefault="00921095" w:rsidP="00921095">
      <w:pPr>
        <w:autoSpaceDE w:val="0"/>
        <w:autoSpaceDN w:val="0"/>
        <w:adjustRightInd w:val="0"/>
        <w:spacing w:after="0" w:line="240" w:lineRule="auto"/>
        <w:jc w:val="both"/>
        <w:rPr>
          <w:rFonts w:eastAsia="Calibri" w:cstheme="minorHAnsi"/>
        </w:rPr>
      </w:pPr>
    </w:p>
    <w:p w14:paraId="245EBA44"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capacidad de otorgamiento de condiciones de acuerdo con los contratos de reaseguro y la capacidad de retención directa de las mismas. </w:t>
      </w:r>
    </w:p>
    <w:p w14:paraId="611C998B"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clasificación de los riesgos asegurables. </w:t>
      </w:r>
    </w:p>
    <w:p w14:paraId="213B5758"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lastRenderedPageBreak/>
        <w:t xml:space="preserve">La ubicación y uso de los principales bienes. </w:t>
      </w:r>
    </w:p>
    <w:p w14:paraId="7C928961"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existencia de políticas de conservación y mantenimiento de los bienes </w:t>
      </w:r>
    </w:p>
    <w:p w14:paraId="1CAD5A35"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El cumplimiento de las disposiciones legales y reglamentarias. </w:t>
      </w:r>
    </w:p>
    <w:p w14:paraId="416A626B"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Las políticas de suscripción de la aseguradora. </w:t>
      </w:r>
    </w:p>
    <w:p w14:paraId="294E816F"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 experiencia siniestral general del ramo y específica del cliente. </w:t>
      </w:r>
    </w:p>
    <w:p w14:paraId="43C83BA4"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Las tarifas existentes en el mercado para riesgos similares. </w:t>
      </w:r>
    </w:p>
    <w:p w14:paraId="73A4E4E2"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Los cálculos actuariales efectuados para la explotación del ramo. </w:t>
      </w:r>
    </w:p>
    <w:p w14:paraId="17ED97EF" w14:textId="77777777" w:rsidR="00921095" w:rsidRPr="00F25B58" w:rsidRDefault="00921095" w:rsidP="0073162A">
      <w:pPr>
        <w:numPr>
          <w:ilvl w:val="0"/>
          <w:numId w:val="5"/>
        </w:numPr>
        <w:autoSpaceDE w:val="0"/>
        <w:autoSpaceDN w:val="0"/>
        <w:adjustRightInd w:val="0"/>
        <w:spacing w:after="120" w:line="240" w:lineRule="auto"/>
        <w:ind w:left="714" w:hanging="357"/>
        <w:jc w:val="both"/>
        <w:rPr>
          <w:rFonts w:eastAsia="Calibri" w:cstheme="minorHAnsi"/>
        </w:rPr>
      </w:pPr>
      <w:r w:rsidRPr="00F25B58">
        <w:rPr>
          <w:rFonts w:eastAsia="Calibri" w:cstheme="minorHAnsi"/>
        </w:rPr>
        <w:t xml:space="preserve">Los costos administrativos, entre otros. </w:t>
      </w:r>
    </w:p>
    <w:p w14:paraId="11CFE5AA" w14:textId="77777777" w:rsidR="007F6939" w:rsidRDefault="007F6939" w:rsidP="00921095">
      <w:pPr>
        <w:spacing w:after="0" w:line="240" w:lineRule="auto"/>
        <w:jc w:val="both"/>
        <w:rPr>
          <w:rFonts w:eastAsia="Calibri" w:cstheme="minorHAnsi"/>
        </w:rPr>
      </w:pPr>
    </w:p>
    <w:p w14:paraId="10EA599C" w14:textId="791B70DE" w:rsidR="00921095" w:rsidRPr="00F25B58" w:rsidRDefault="00921095" w:rsidP="00921095">
      <w:pPr>
        <w:spacing w:after="0" w:line="240" w:lineRule="auto"/>
        <w:jc w:val="both"/>
        <w:rPr>
          <w:rFonts w:eastAsia="Calibri" w:cstheme="minorHAnsi"/>
        </w:rPr>
      </w:pPr>
      <w:r w:rsidRPr="00F25B58">
        <w:rPr>
          <w:rFonts w:eastAsia="Calibri" w:cstheme="minorHAnsi"/>
        </w:rPr>
        <w:t xml:space="preserve">Evaluación de las condiciones particulares de </w:t>
      </w:r>
      <w:r w:rsidR="00D34E78" w:rsidRPr="00F25B58">
        <w:rPr>
          <w:rFonts w:eastAsia="Calibri" w:cstheme="minorHAnsi"/>
        </w:rPr>
        <w:t xml:space="preserve">la </w:t>
      </w:r>
      <w:r w:rsidR="007F6939" w:rsidRPr="00457E41">
        <w:rPr>
          <w:rFonts w:eastAsia="ACaslonPro-Regular" w:cstheme="minorHAnsi"/>
          <w:b/>
          <w:bCs/>
        </w:rPr>
        <w:t>Universidad Distrital Francisco José de Caldas</w:t>
      </w:r>
      <w:r w:rsidRPr="00F25B58">
        <w:rPr>
          <w:rFonts w:eastAsia="Calibri" w:cstheme="minorHAnsi"/>
        </w:rPr>
        <w:t xml:space="preserve"> y cargos a asegurar, de acuerdo con las respuestas dadas a un cuestionario de solicitud de seguro que se requiere entregar.</w:t>
      </w:r>
    </w:p>
    <w:p w14:paraId="3EF37C1A" w14:textId="77777777" w:rsidR="007F6939" w:rsidRPr="00F25B58" w:rsidRDefault="007F6939" w:rsidP="00921095">
      <w:pPr>
        <w:spacing w:after="0" w:line="240" w:lineRule="auto"/>
        <w:jc w:val="both"/>
        <w:rPr>
          <w:rFonts w:eastAsia="Calibri" w:cstheme="minorHAnsi"/>
          <w:b/>
          <w:bCs/>
        </w:rPr>
      </w:pPr>
    </w:p>
    <w:p w14:paraId="04C0C9A5" w14:textId="77777777" w:rsidR="00921095" w:rsidRPr="00F25B58" w:rsidRDefault="00921095" w:rsidP="00921095">
      <w:pPr>
        <w:autoSpaceDE w:val="0"/>
        <w:autoSpaceDN w:val="0"/>
        <w:adjustRightInd w:val="0"/>
        <w:spacing w:after="0" w:line="240" w:lineRule="auto"/>
        <w:jc w:val="center"/>
        <w:rPr>
          <w:rFonts w:eastAsia="Calibri" w:cstheme="minorHAnsi"/>
          <w:b/>
          <w:bCs/>
        </w:rPr>
      </w:pPr>
      <w:r w:rsidRPr="00F25B58">
        <w:rPr>
          <w:rFonts w:eastAsia="Calibri" w:cstheme="minorHAnsi"/>
          <w:bCs/>
          <w:noProof/>
          <w:color w:val="000000"/>
          <w:lang w:eastAsia="es-CO"/>
        </w:rPr>
        <w:drawing>
          <wp:inline distT="0" distB="0" distL="0" distR="0" wp14:anchorId="1C4A191B" wp14:editId="29C0D892">
            <wp:extent cx="3206732" cy="21433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8034" cy="2204379"/>
                    </a:xfrm>
                    <a:prstGeom prst="rect">
                      <a:avLst/>
                    </a:prstGeom>
                    <a:noFill/>
                  </pic:spPr>
                </pic:pic>
              </a:graphicData>
            </a:graphic>
          </wp:inline>
        </w:drawing>
      </w:r>
    </w:p>
    <w:p w14:paraId="730470B1" w14:textId="1DECC0DF" w:rsidR="00921095" w:rsidRDefault="00921095" w:rsidP="007F6939">
      <w:pPr>
        <w:autoSpaceDE w:val="0"/>
        <w:autoSpaceDN w:val="0"/>
        <w:adjustRightInd w:val="0"/>
        <w:spacing w:after="0" w:line="240" w:lineRule="auto"/>
        <w:jc w:val="both"/>
        <w:rPr>
          <w:rFonts w:eastAsia="Calibri" w:cstheme="minorHAnsi"/>
          <w:b/>
          <w:bCs/>
        </w:rPr>
      </w:pPr>
    </w:p>
    <w:p w14:paraId="1EAFF32C" w14:textId="77777777" w:rsidR="007F6939" w:rsidRPr="00F25B58" w:rsidRDefault="007F6939" w:rsidP="007F6939">
      <w:pPr>
        <w:autoSpaceDE w:val="0"/>
        <w:autoSpaceDN w:val="0"/>
        <w:adjustRightInd w:val="0"/>
        <w:spacing w:after="0" w:line="240" w:lineRule="auto"/>
        <w:jc w:val="both"/>
        <w:rPr>
          <w:rFonts w:eastAsia="Calibri" w:cstheme="minorHAnsi"/>
          <w:b/>
          <w:bCs/>
        </w:rPr>
      </w:pPr>
    </w:p>
    <w:p w14:paraId="0C642785" w14:textId="77777777" w:rsidR="00921095" w:rsidRPr="00735E21" w:rsidRDefault="00921095" w:rsidP="0073162A">
      <w:pPr>
        <w:pStyle w:val="Prrafodelista"/>
        <w:numPr>
          <w:ilvl w:val="0"/>
          <w:numId w:val="15"/>
        </w:numPr>
        <w:spacing w:after="0" w:line="240" w:lineRule="auto"/>
        <w:jc w:val="both"/>
        <w:rPr>
          <w:rFonts w:eastAsia="Calibri" w:cstheme="minorHAnsi"/>
          <w:b/>
          <w:noProof/>
          <w:lang w:val="es-ES" w:eastAsia="es-ES"/>
        </w:rPr>
      </w:pPr>
      <w:r w:rsidRPr="00735E21">
        <w:rPr>
          <w:rFonts w:eastAsia="Calibri" w:cstheme="minorHAnsi"/>
          <w:b/>
          <w:bCs/>
        </w:rPr>
        <w:t>Análisis de la demanda</w:t>
      </w:r>
    </w:p>
    <w:p w14:paraId="794CDE79" w14:textId="77777777" w:rsidR="00921095" w:rsidRPr="00F25B58" w:rsidRDefault="00921095" w:rsidP="00735E21">
      <w:pPr>
        <w:spacing w:after="0" w:line="240" w:lineRule="auto"/>
        <w:contextualSpacing/>
        <w:jc w:val="both"/>
        <w:rPr>
          <w:rFonts w:eastAsia="Calibri" w:cstheme="minorHAnsi"/>
          <w:b/>
          <w:noProof/>
          <w:lang w:val="es-ES" w:eastAsia="es-ES"/>
        </w:rPr>
      </w:pPr>
    </w:p>
    <w:p w14:paraId="14FFBAE6" w14:textId="77777777" w:rsidR="00921095" w:rsidRPr="00735E21" w:rsidRDefault="00921095" w:rsidP="0073162A">
      <w:pPr>
        <w:pStyle w:val="Prrafodelista"/>
        <w:numPr>
          <w:ilvl w:val="0"/>
          <w:numId w:val="15"/>
        </w:numPr>
        <w:spacing w:after="0" w:line="240" w:lineRule="auto"/>
        <w:jc w:val="both"/>
        <w:rPr>
          <w:rFonts w:eastAsia="Calibri" w:cstheme="minorHAnsi"/>
          <w:b/>
          <w:bCs/>
        </w:rPr>
      </w:pPr>
      <w:r w:rsidRPr="00735E21">
        <w:rPr>
          <w:rFonts w:eastAsia="Calibri" w:cstheme="minorHAnsi"/>
          <w:b/>
          <w:bCs/>
        </w:rPr>
        <w:t>Histórico de compras de otras entidades estatales durante los últimos años</w:t>
      </w:r>
    </w:p>
    <w:p w14:paraId="31B1D59C" w14:textId="77777777" w:rsidR="00921095" w:rsidRPr="00F25B58" w:rsidRDefault="00921095" w:rsidP="00735E21">
      <w:pPr>
        <w:spacing w:after="0" w:line="240" w:lineRule="auto"/>
        <w:jc w:val="both"/>
        <w:rPr>
          <w:rFonts w:eastAsia="Calibri" w:cstheme="minorHAnsi"/>
          <w:b/>
          <w:bCs/>
        </w:rPr>
      </w:pPr>
    </w:p>
    <w:p w14:paraId="0E5C832A" w14:textId="77777777" w:rsidR="00921095" w:rsidRPr="00735E21" w:rsidRDefault="00921095" w:rsidP="0073162A">
      <w:pPr>
        <w:pStyle w:val="Prrafodelista"/>
        <w:numPr>
          <w:ilvl w:val="0"/>
          <w:numId w:val="15"/>
        </w:numPr>
        <w:spacing w:after="0" w:line="240" w:lineRule="auto"/>
        <w:jc w:val="both"/>
        <w:rPr>
          <w:rFonts w:eastAsia="Calibri" w:cstheme="minorHAnsi"/>
          <w:b/>
          <w:bCs/>
        </w:rPr>
      </w:pPr>
      <w:r w:rsidRPr="00735E21">
        <w:rPr>
          <w:rFonts w:eastAsia="Calibri" w:cstheme="minorHAnsi"/>
          <w:b/>
          <w:bCs/>
        </w:rPr>
        <w:t>Tasas aplicables a las pólizas de Automóviles, Todo Riesgo Daños Materiales, Responsabilidad Civil Extracontractual y Manejo Global:</w:t>
      </w:r>
    </w:p>
    <w:p w14:paraId="0E208C4C" w14:textId="77777777" w:rsidR="00921095" w:rsidRPr="00F25B58" w:rsidRDefault="00921095" w:rsidP="00921095">
      <w:pPr>
        <w:spacing w:after="0" w:line="240" w:lineRule="auto"/>
        <w:jc w:val="both"/>
        <w:rPr>
          <w:rFonts w:eastAsia="Calibri" w:cstheme="minorHAnsi"/>
          <w:bCs/>
        </w:rPr>
      </w:pPr>
    </w:p>
    <w:p w14:paraId="11B2EF44"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Las siguientes variables, sumadas a las que anteriormente se han expuesto a lo largo del presente documento, han sido esenciales para establecer el costo del programa de seguros, advirtiendo que se trata de una proyección y no basada en estudio con condiciones determinadas por las aseguradoras, lo que supone que cuando el proceso se abra oficialmente, los costos podrían ser distintos a los determinados en el estudio.</w:t>
      </w:r>
    </w:p>
    <w:p w14:paraId="1891CB43" w14:textId="77777777" w:rsidR="00921095" w:rsidRPr="00F25B58" w:rsidRDefault="00921095" w:rsidP="00921095">
      <w:pPr>
        <w:spacing w:after="0" w:line="240" w:lineRule="auto"/>
        <w:jc w:val="both"/>
        <w:rPr>
          <w:rFonts w:eastAsia="Calibri" w:cstheme="minorHAnsi"/>
          <w:bCs/>
        </w:rPr>
      </w:pPr>
    </w:p>
    <w:p w14:paraId="2C2F8EBA" w14:textId="3300B297"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Siniestralidad registrada, por lo menos en los últimos tres (03) años.</w:t>
      </w:r>
    </w:p>
    <w:p w14:paraId="378330B1" w14:textId="4419C371"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Primas pagadas durante las últimas vigencias técnicas, tomando en consideración primas por 12 meses.</w:t>
      </w:r>
    </w:p>
    <w:p w14:paraId="3EEFB5D7" w14:textId="7C010273"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lastRenderedPageBreak/>
        <w:t>Se realizó un estudio de tasas en los ramos a contratar de programas de seguros del sector público contratados en los últimos años, para establecer las tarifas que sirven como base para soportar el presupuesto de la presente contratación, en el entendido que las aseguradoras evitan reflejar sus condiciones de sus contratos de reaseguro, antes de la realización de un proceso de contratación estatal.</w:t>
      </w:r>
    </w:p>
    <w:p w14:paraId="0D1FD426" w14:textId="04E90341"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Se evaluaron las primas pagadas por entidades públicas similares, a fin de conocer el comportamiento del sector asegurador.</w:t>
      </w:r>
    </w:p>
    <w:p w14:paraId="191A5D85" w14:textId="23D41790" w:rsidR="00921095" w:rsidRPr="000F3014" w:rsidRDefault="00921095" w:rsidP="0073162A">
      <w:pPr>
        <w:pStyle w:val="Prrafodelista"/>
        <w:numPr>
          <w:ilvl w:val="0"/>
          <w:numId w:val="14"/>
        </w:numPr>
        <w:spacing w:after="0" w:line="240" w:lineRule="auto"/>
        <w:jc w:val="both"/>
        <w:rPr>
          <w:rFonts w:eastAsia="Calibri" w:cstheme="minorHAnsi"/>
          <w:bCs/>
        </w:rPr>
      </w:pPr>
      <w:r w:rsidRPr="000F3014">
        <w:rPr>
          <w:rFonts w:eastAsia="Calibri" w:cstheme="minorHAnsi"/>
          <w:bCs/>
        </w:rPr>
        <w:t>Los valores asegurados que han servido para el cálculo de las primas.</w:t>
      </w:r>
    </w:p>
    <w:p w14:paraId="23827522" w14:textId="77777777" w:rsidR="00921095" w:rsidRPr="00F25B58" w:rsidRDefault="00921095" w:rsidP="00921095">
      <w:pPr>
        <w:spacing w:after="0" w:line="240" w:lineRule="auto"/>
        <w:jc w:val="both"/>
        <w:rPr>
          <w:rFonts w:eastAsia="Calibri" w:cstheme="minorHAnsi"/>
          <w:bCs/>
        </w:rPr>
      </w:pPr>
    </w:p>
    <w:p w14:paraId="5ED46D92"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El análisis económico debe adelantarse de manera individual para cada grupo que conforma el programa de seguros, en tanto que cada uno conlleva una serie de variables o aspectos que le son particulares, al igual que son vistos, por parte del mercado asegurador, como una oportunidad de contar con recursos para atender sus necesidades, aún a pesar de existir unidad en el proceso de contratación.</w:t>
      </w:r>
    </w:p>
    <w:p w14:paraId="167C5A2D" w14:textId="77777777" w:rsidR="00921095" w:rsidRPr="00F25B58" w:rsidRDefault="00921095" w:rsidP="00921095">
      <w:pPr>
        <w:spacing w:after="0" w:line="240" w:lineRule="auto"/>
        <w:jc w:val="both"/>
        <w:rPr>
          <w:rFonts w:eastAsia="Calibri" w:cstheme="minorHAnsi"/>
          <w:bCs/>
        </w:rPr>
      </w:pPr>
    </w:p>
    <w:p w14:paraId="3B9C258C" w14:textId="1DCE3DB7" w:rsidR="00921095" w:rsidRPr="00F25B58" w:rsidRDefault="00D34E78" w:rsidP="00921095">
      <w:pPr>
        <w:spacing w:after="0" w:line="240" w:lineRule="auto"/>
        <w:jc w:val="both"/>
        <w:rPr>
          <w:rFonts w:eastAsia="Calibri" w:cstheme="minorHAnsi"/>
          <w:bCs/>
        </w:rPr>
      </w:pPr>
      <w:r w:rsidRPr="00F25B58">
        <w:rPr>
          <w:rFonts w:eastAsia="Calibri" w:cstheme="minorHAnsi"/>
          <w:bCs/>
        </w:rPr>
        <w:t xml:space="preserve">La </w:t>
      </w:r>
      <w:r w:rsidR="000F3014" w:rsidRPr="00457E41">
        <w:rPr>
          <w:rFonts w:eastAsia="ACaslonPro-Regular" w:cstheme="minorHAnsi"/>
          <w:b/>
          <w:bCs/>
        </w:rPr>
        <w:t>Universidad Distrital Francisco José de Caldas</w:t>
      </w:r>
      <w:r w:rsidR="00921095" w:rsidRPr="00F25B58">
        <w:rPr>
          <w:rFonts w:eastAsia="Calibri" w:cstheme="minorHAnsi"/>
          <w:bCs/>
        </w:rPr>
        <w:t xml:space="preserve">, por tener su condición de Entidad con componente Estatal, debe realizar su contratación con base en los lineamentos que establece la Ley 80 de 1993, la Ley 1150 de 2007 y </w:t>
      </w:r>
      <w:r w:rsidR="003726C0" w:rsidRPr="00F25B58">
        <w:rPr>
          <w:rFonts w:eastAsia="Calibri" w:cstheme="minorHAnsi"/>
          <w:bCs/>
        </w:rPr>
        <w:t>el Decreto 1082 de 2015</w:t>
      </w:r>
      <w:r w:rsidR="00921095" w:rsidRPr="00F25B58">
        <w:rPr>
          <w:rFonts w:eastAsia="Calibri" w:cstheme="minorHAnsi"/>
          <w:bCs/>
        </w:rPr>
        <w:t xml:space="preserve"> y las disposiciones de la Ley Civil y Comercial. </w:t>
      </w:r>
    </w:p>
    <w:p w14:paraId="70594459" w14:textId="77777777" w:rsidR="00921095" w:rsidRPr="00F25B58" w:rsidRDefault="00921095" w:rsidP="00921095">
      <w:pPr>
        <w:spacing w:after="0" w:line="240" w:lineRule="auto"/>
        <w:jc w:val="both"/>
        <w:rPr>
          <w:rFonts w:eastAsia="Calibri" w:cstheme="minorHAnsi"/>
          <w:bCs/>
        </w:rPr>
      </w:pPr>
    </w:p>
    <w:p w14:paraId="2B9FF807" w14:textId="77777777" w:rsidR="00921095" w:rsidRPr="00F25B58" w:rsidRDefault="00921095" w:rsidP="00921095">
      <w:pPr>
        <w:spacing w:after="0" w:line="240" w:lineRule="auto"/>
        <w:jc w:val="both"/>
        <w:rPr>
          <w:rFonts w:eastAsia="Calibri" w:cstheme="minorHAnsi"/>
          <w:bCs/>
        </w:rPr>
      </w:pPr>
      <w:r w:rsidRPr="00F25B58">
        <w:rPr>
          <w:rFonts w:eastAsia="Calibri" w:cstheme="minorHAnsi"/>
          <w:bCs/>
        </w:rPr>
        <w:t>Por lo anterior, y considerando que las compañías de seguros se abstienen de presentar términos y condiciones de cotización para las Entidades del estado, por cuanto por su condición de entidad estatal, las autorizaciones de respaldo de reaseguro del exterior, dependen de los términos y condiciones que se establezcan en los documentos del procesos de selección, donde entre otros se encuentran: Criterios de evaluación y presentación de la oferta, Valores asegurados, ubicación de los riesgos, actividad, presupuesto, relación de bienes, información siniestral y términos y condiciones de cobertura.</w:t>
      </w:r>
    </w:p>
    <w:p w14:paraId="32FAFB63" w14:textId="77777777" w:rsidR="00921095" w:rsidRPr="00F25B58" w:rsidRDefault="00921095" w:rsidP="00921095">
      <w:pPr>
        <w:spacing w:after="0" w:line="240" w:lineRule="auto"/>
        <w:jc w:val="both"/>
        <w:rPr>
          <w:rFonts w:eastAsia="Calibri" w:cstheme="minorHAnsi"/>
          <w:bCs/>
        </w:rPr>
      </w:pPr>
    </w:p>
    <w:p w14:paraId="618ACC72" w14:textId="2E75FA0E"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Por lo anterior, para esta clase de procesos, se debe determinar el procedimiento a seguir con base en las estadísticas de tasas de pólizas contratadas por entidades del estado, comparadas sobre los valores asegurados del programa de seguros de </w:t>
      </w:r>
      <w:r w:rsidR="00D34E78" w:rsidRPr="00F25B58">
        <w:rPr>
          <w:rFonts w:eastAsia="Calibri" w:cstheme="minorHAnsi"/>
          <w:bCs/>
        </w:rPr>
        <w:t xml:space="preserve">la </w:t>
      </w:r>
      <w:r w:rsidR="00457E41">
        <w:rPr>
          <w:rFonts w:eastAsia="ACaslonPro-Regular" w:cstheme="minorHAnsi"/>
        </w:rPr>
        <w:t>Universidad Distrital Francisco José de Caldas</w:t>
      </w:r>
      <w:r w:rsidRPr="00F25B58">
        <w:rPr>
          <w:rFonts w:eastAsia="Calibri" w:cstheme="minorHAnsi"/>
          <w:bCs/>
        </w:rPr>
        <w:t>, y estadística siniestral para establecer el presupuesto de la contratación del proceso a realizar y la contratación del programa de vigencias anteriores.</w:t>
      </w:r>
    </w:p>
    <w:p w14:paraId="24D21632" w14:textId="77777777" w:rsidR="00921095" w:rsidRPr="00F25B58" w:rsidRDefault="00921095" w:rsidP="00921095">
      <w:pPr>
        <w:spacing w:after="0" w:line="240" w:lineRule="auto"/>
        <w:jc w:val="both"/>
        <w:rPr>
          <w:rFonts w:eastAsia="Calibri" w:cstheme="minorHAnsi"/>
          <w:bCs/>
        </w:rPr>
      </w:pPr>
    </w:p>
    <w:p w14:paraId="408C24A5" w14:textId="77777777" w:rsidR="00007ABA" w:rsidRDefault="00007ABA" w:rsidP="00921095">
      <w:pPr>
        <w:spacing w:after="0" w:line="240" w:lineRule="auto"/>
        <w:jc w:val="both"/>
        <w:rPr>
          <w:rFonts w:eastAsia="Calibri" w:cstheme="minorHAnsi"/>
          <w:b/>
        </w:rPr>
      </w:pPr>
    </w:p>
    <w:p w14:paraId="2AAA3B68" w14:textId="43E197DF" w:rsidR="00921095" w:rsidRPr="00007ABA" w:rsidRDefault="00921095" w:rsidP="00921095">
      <w:pPr>
        <w:spacing w:after="0" w:line="240" w:lineRule="auto"/>
        <w:jc w:val="both"/>
        <w:rPr>
          <w:rFonts w:eastAsia="Calibri" w:cstheme="minorHAnsi"/>
          <w:b/>
        </w:rPr>
      </w:pPr>
      <w:r w:rsidRPr="00007ABA">
        <w:rPr>
          <w:rFonts w:eastAsia="Calibri" w:cstheme="minorHAnsi"/>
          <w:b/>
        </w:rPr>
        <w:t>Histórico de compras de otras entidades estatales durante los últimos años</w:t>
      </w:r>
    </w:p>
    <w:p w14:paraId="5FB5C3F2" w14:textId="77777777" w:rsidR="00921095" w:rsidRPr="00F25B58" w:rsidRDefault="00921095" w:rsidP="00921095">
      <w:pPr>
        <w:spacing w:after="0" w:line="240" w:lineRule="auto"/>
        <w:jc w:val="both"/>
        <w:rPr>
          <w:rFonts w:eastAsia="Calibri" w:cstheme="minorHAnsi"/>
          <w:bCs/>
        </w:rPr>
      </w:pPr>
    </w:p>
    <w:p w14:paraId="5B2AF979" w14:textId="2000161E"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Tasas aplicables a las pólizas de Automóviles, Todo Riesgo Daños Materiales, Responsabilidad Civil Extracontractual, Manejo Global </w:t>
      </w:r>
      <w:r w:rsidR="00007ABA" w:rsidRPr="00F25B58">
        <w:rPr>
          <w:rFonts w:eastAsia="Calibri" w:cstheme="minorHAnsi"/>
          <w:bCs/>
        </w:rPr>
        <w:t>e</w:t>
      </w:r>
      <w:r w:rsidRPr="00F25B58">
        <w:rPr>
          <w:rFonts w:eastAsia="Calibri" w:cstheme="minorHAnsi"/>
          <w:bCs/>
        </w:rPr>
        <w:t xml:space="preserve"> </w:t>
      </w:r>
      <w:r w:rsidR="002D5EF9" w:rsidRPr="00F25B58">
        <w:rPr>
          <w:rFonts w:eastAsia="Calibri" w:cstheme="minorHAnsi"/>
          <w:bCs/>
        </w:rPr>
        <w:t>Infidelidad y Riesgos Financieros</w:t>
      </w:r>
      <w:r w:rsidRPr="00F25B58">
        <w:rPr>
          <w:rFonts w:eastAsia="Calibri" w:cstheme="minorHAnsi"/>
          <w:bCs/>
        </w:rPr>
        <w:t>:</w:t>
      </w:r>
    </w:p>
    <w:p w14:paraId="1AB179A4" w14:textId="77777777" w:rsidR="00921095" w:rsidRPr="00F25B58" w:rsidRDefault="00921095" w:rsidP="00921095">
      <w:pPr>
        <w:spacing w:after="0" w:line="240" w:lineRule="auto"/>
        <w:jc w:val="both"/>
        <w:rPr>
          <w:rFonts w:eastAsia="Calibri" w:cstheme="minorHAnsi"/>
          <w:bCs/>
        </w:rPr>
      </w:pPr>
    </w:p>
    <w:p w14:paraId="25944486" w14:textId="4C27B6CC" w:rsidR="00921095" w:rsidRPr="00F25B58" w:rsidRDefault="00921095" w:rsidP="00921095">
      <w:pPr>
        <w:spacing w:after="0" w:line="240" w:lineRule="auto"/>
        <w:jc w:val="both"/>
        <w:rPr>
          <w:rFonts w:eastAsia="Calibri" w:cstheme="minorHAnsi"/>
          <w:bCs/>
        </w:rPr>
      </w:pPr>
      <w:r w:rsidRPr="00F25B58">
        <w:rPr>
          <w:rFonts w:eastAsia="Calibri" w:cstheme="minorHAnsi"/>
          <w:bCs/>
        </w:rPr>
        <w:t xml:space="preserve">A continuación, se presenta la estadística de tasas aplicadas en ofertas presentadas a clientes del sector estatal, correspondiente a procesos asesorados por el Corredor de Seguros de </w:t>
      </w:r>
      <w:r w:rsidR="00CD1FDB" w:rsidRPr="00F25B58">
        <w:rPr>
          <w:rFonts w:eastAsia="Calibri" w:cstheme="minorHAnsi"/>
          <w:bCs/>
        </w:rPr>
        <w:t xml:space="preserve">la </w:t>
      </w:r>
      <w:r w:rsidR="00457E41">
        <w:rPr>
          <w:rFonts w:eastAsia="ACaslonPro-Regular" w:cstheme="minorHAnsi"/>
        </w:rPr>
        <w:t>Universidad Distrital Francisco José de Caldas</w:t>
      </w:r>
      <w:r w:rsidRPr="00F25B58">
        <w:rPr>
          <w:rFonts w:eastAsia="Calibri" w:cstheme="minorHAnsi"/>
          <w:bCs/>
        </w:rPr>
        <w:t xml:space="preserve">, la cual se considera como base para realizar el análisis económico del sector para el proceso de selección que adelantará </w:t>
      </w:r>
      <w:r w:rsidR="00CD1FDB" w:rsidRPr="00F25B58">
        <w:rPr>
          <w:rFonts w:eastAsia="Calibri" w:cstheme="minorHAnsi"/>
          <w:bCs/>
        </w:rPr>
        <w:t xml:space="preserve">la </w:t>
      </w:r>
      <w:r w:rsidR="00007ABA" w:rsidRPr="00457E41">
        <w:rPr>
          <w:rFonts w:eastAsia="ACaslonPro-Regular" w:cstheme="minorHAnsi"/>
          <w:b/>
          <w:bCs/>
        </w:rPr>
        <w:t>Universidad Distrital Francisco José de Caldas</w:t>
      </w:r>
      <w:r w:rsidR="00007ABA" w:rsidRPr="00F25B58">
        <w:rPr>
          <w:rFonts w:eastAsia="Calibri" w:cstheme="minorHAnsi"/>
          <w:bCs/>
        </w:rPr>
        <w:t xml:space="preserve"> </w:t>
      </w:r>
      <w:r w:rsidRPr="00F25B58">
        <w:rPr>
          <w:rFonts w:eastAsia="Calibri" w:cstheme="minorHAnsi"/>
          <w:bCs/>
        </w:rPr>
        <w:t>en el año 202</w:t>
      </w:r>
      <w:r w:rsidR="00007ABA">
        <w:rPr>
          <w:rFonts w:eastAsia="Calibri" w:cstheme="minorHAnsi"/>
          <w:bCs/>
        </w:rPr>
        <w:t>3</w:t>
      </w:r>
      <w:r w:rsidRPr="00F25B58">
        <w:rPr>
          <w:rFonts w:eastAsia="Calibri" w:cstheme="minorHAnsi"/>
          <w:bCs/>
        </w:rPr>
        <w:t>, y a su vez para establecer el presupuesto de la contratación así:</w:t>
      </w:r>
    </w:p>
    <w:p w14:paraId="58595E64" w14:textId="77777777" w:rsidR="00921095" w:rsidRPr="00F25B58" w:rsidRDefault="00921095" w:rsidP="00921095">
      <w:pPr>
        <w:autoSpaceDE w:val="0"/>
        <w:autoSpaceDN w:val="0"/>
        <w:adjustRightInd w:val="0"/>
        <w:spacing w:after="0" w:line="240" w:lineRule="auto"/>
        <w:jc w:val="both"/>
        <w:rPr>
          <w:rFonts w:eastAsia="ACaslonPro-Regular" w:cstheme="minorHAnsi"/>
          <w:lang w:val="es-ES" w:eastAsia="es-ES"/>
        </w:rPr>
      </w:pPr>
    </w:p>
    <w:p w14:paraId="108C7345" w14:textId="57E60E9A" w:rsidR="00960737" w:rsidRPr="00F25B58" w:rsidRDefault="0095749A" w:rsidP="00921095">
      <w:pPr>
        <w:autoSpaceDE w:val="0"/>
        <w:autoSpaceDN w:val="0"/>
        <w:adjustRightInd w:val="0"/>
        <w:spacing w:after="0" w:line="240" w:lineRule="auto"/>
        <w:jc w:val="both"/>
        <w:rPr>
          <w:rFonts w:eastAsia="ACaslonPro-Regular" w:cstheme="minorHAnsi"/>
          <w:lang w:val="es-ES" w:eastAsia="es-ES"/>
        </w:rPr>
      </w:pPr>
      <w:r w:rsidRPr="00F25B58">
        <w:rPr>
          <w:rFonts w:eastAsia="ACaslonPro-Regular" w:cstheme="minorHAnsi"/>
          <w:noProof/>
          <w:lang w:val="es-ES" w:eastAsia="es-ES"/>
        </w:rPr>
        <w:lastRenderedPageBreak/>
        <w:drawing>
          <wp:inline distT="0" distB="0" distL="0" distR="0" wp14:anchorId="2B60C39A" wp14:editId="30495754">
            <wp:extent cx="5501030" cy="2330988"/>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2030" cy="2335649"/>
                    </a:xfrm>
                    <a:prstGeom prst="rect">
                      <a:avLst/>
                    </a:prstGeom>
                    <a:noFill/>
                  </pic:spPr>
                </pic:pic>
              </a:graphicData>
            </a:graphic>
          </wp:inline>
        </w:drawing>
      </w:r>
    </w:p>
    <w:p w14:paraId="59A838FD" w14:textId="00B063B1" w:rsidR="00960737" w:rsidRDefault="00960737" w:rsidP="00921095">
      <w:pPr>
        <w:autoSpaceDE w:val="0"/>
        <w:autoSpaceDN w:val="0"/>
        <w:adjustRightInd w:val="0"/>
        <w:spacing w:after="0" w:line="240" w:lineRule="auto"/>
        <w:jc w:val="both"/>
        <w:rPr>
          <w:rFonts w:eastAsia="ACaslonPro-Regular" w:cstheme="minorHAnsi"/>
          <w:lang w:val="es-ES" w:eastAsia="es-ES"/>
        </w:rPr>
      </w:pPr>
    </w:p>
    <w:p w14:paraId="09ED2AB6" w14:textId="73AA6954" w:rsidR="0073162A" w:rsidRDefault="0073162A" w:rsidP="00921095">
      <w:pPr>
        <w:autoSpaceDE w:val="0"/>
        <w:autoSpaceDN w:val="0"/>
        <w:adjustRightInd w:val="0"/>
        <w:spacing w:after="0" w:line="240" w:lineRule="auto"/>
        <w:jc w:val="both"/>
        <w:rPr>
          <w:rFonts w:eastAsia="ACaslonPro-Regular" w:cstheme="minorHAnsi"/>
          <w:lang w:val="es-ES" w:eastAsia="es-ES"/>
        </w:rPr>
      </w:pPr>
      <w:r w:rsidRPr="001F42D2">
        <w:rPr>
          <w:rFonts w:eastAsia="Calibri"/>
          <w:noProof/>
        </w:rPr>
        <w:drawing>
          <wp:inline distT="0" distB="0" distL="0" distR="0" wp14:anchorId="6A8C3E70" wp14:editId="1D8224D7">
            <wp:extent cx="5570794" cy="144641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3728" cy="1449773"/>
                    </a:xfrm>
                    <a:prstGeom prst="rect">
                      <a:avLst/>
                    </a:prstGeom>
                    <a:noFill/>
                    <a:ln>
                      <a:noFill/>
                    </a:ln>
                  </pic:spPr>
                </pic:pic>
              </a:graphicData>
            </a:graphic>
          </wp:inline>
        </w:drawing>
      </w:r>
    </w:p>
    <w:p w14:paraId="024CB496" w14:textId="4EA4FF28" w:rsidR="00007ABA" w:rsidRDefault="00007ABA" w:rsidP="00921095">
      <w:pPr>
        <w:autoSpaceDE w:val="0"/>
        <w:autoSpaceDN w:val="0"/>
        <w:adjustRightInd w:val="0"/>
        <w:spacing w:after="0" w:line="240" w:lineRule="auto"/>
        <w:jc w:val="both"/>
        <w:rPr>
          <w:rFonts w:eastAsia="ACaslonPro-Regular" w:cstheme="minorHAnsi"/>
          <w:lang w:val="es-ES" w:eastAsia="es-ES"/>
        </w:rPr>
      </w:pPr>
    </w:p>
    <w:p w14:paraId="2ADD8E8E" w14:textId="6EA06042" w:rsidR="00007ABA" w:rsidRDefault="00250055" w:rsidP="00921095">
      <w:pPr>
        <w:autoSpaceDE w:val="0"/>
        <w:autoSpaceDN w:val="0"/>
        <w:adjustRightInd w:val="0"/>
        <w:spacing w:after="0" w:line="240" w:lineRule="auto"/>
        <w:jc w:val="both"/>
        <w:rPr>
          <w:rFonts w:eastAsia="ACaslonPro-Regular" w:cstheme="minorHAnsi"/>
          <w:lang w:val="es-ES" w:eastAsia="es-ES"/>
        </w:rPr>
      </w:pPr>
      <w:r w:rsidRPr="00250055">
        <w:rPr>
          <w:noProof/>
        </w:rPr>
        <w:drawing>
          <wp:inline distT="0" distB="0" distL="0" distR="0" wp14:anchorId="0C4F0CA4" wp14:editId="20EAD8D5">
            <wp:extent cx="5603443" cy="149574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6985" cy="1499360"/>
                    </a:xfrm>
                    <a:prstGeom prst="rect">
                      <a:avLst/>
                    </a:prstGeom>
                    <a:noFill/>
                    <a:ln>
                      <a:noFill/>
                    </a:ln>
                  </pic:spPr>
                </pic:pic>
              </a:graphicData>
            </a:graphic>
          </wp:inline>
        </w:drawing>
      </w:r>
    </w:p>
    <w:p w14:paraId="77871710" w14:textId="03566FED" w:rsidR="00921095" w:rsidRPr="00250055" w:rsidRDefault="00921095" w:rsidP="00921095">
      <w:pPr>
        <w:autoSpaceDE w:val="0"/>
        <w:autoSpaceDN w:val="0"/>
        <w:adjustRightInd w:val="0"/>
        <w:spacing w:after="0" w:line="240" w:lineRule="auto"/>
        <w:jc w:val="both"/>
        <w:rPr>
          <w:rFonts w:eastAsia="ACaslonPro-Regular" w:cstheme="minorHAnsi"/>
          <w:lang w:val="es-ES" w:eastAsia="es-ES"/>
        </w:rPr>
      </w:pPr>
      <w:r w:rsidRPr="00250055">
        <w:rPr>
          <w:rFonts w:eastAsia="ACaslonPro-Regular" w:cstheme="minorHAnsi"/>
          <w:lang w:val="es-ES" w:eastAsia="es-ES"/>
        </w:rPr>
        <w:t xml:space="preserve">Conforme a la información plasmada en el cuadro denominado presupuesto de la contratación, el cual hace parte integral del presente proceso, se plasma la información y variables consideradas para establecer el presupuesto oficial para el presente proceso, tomando como base las tasas promedio del mercado de entidades públicas, así como el análisis de entidades de actividades similares y las tasas aplicables a la zona geográfica donde se encuentran ubicados los riesgos, para lo cual se ajustaron las tasas actuales de las pólizas que conforman el programa de seguros de </w:t>
      </w:r>
      <w:r w:rsidR="00CD1FDB" w:rsidRPr="00250055">
        <w:rPr>
          <w:rFonts w:eastAsia="ACaslonPro-Regular" w:cstheme="minorHAnsi"/>
          <w:lang w:val="es-ES" w:eastAsia="es-ES"/>
        </w:rPr>
        <w:t xml:space="preserve">la </w:t>
      </w:r>
      <w:r w:rsidR="00457E41" w:rsidRPr="00250055">
        <w:rPr>
          <w:rFonts w:eastAsia="ACaslonPro-Regular" w:cstheme="minorHAnsi"/>
          <w:b/>
          <w:bCs/>
        </w:rPr>
        <w:t>Universidad Distrital Francisco José de Caldas</w:t>
      </w:r>
      <w:r w:rsidRPr="00250055">
        <w:rPr>
          <w:rFonts w:eastAsia="ACaslonPro-Regular" w:cstheme="minorHAnsi"/>
          <w:lang w:val="es-ES" w:eastAsia="es-ES"/>
        </w:rPr>
        <w:t xml:space="preserve">, frente a la siniestralidad presentada en cada pólizas en los últimos tres años, y a su vez contemplando los ajustes del mercados derivados del COVID-19, dando como resultado un presupuesto para la contratación anual por la suma de </w:t>
      </w:r>
      <w:r w:rsidR="00006F69" w:rsidRPr="00006F69">
        <w:rPr>
          <w:rFonts w:eastAsia="Arial Narrow" w:cstheme="minorHAnsi"/>
          <w:b/>
          <w:bCs/>
        </w:rPr>
        <w:t>TRES MIL SETECIENTOS CINCUENTA MILLONES, QUINIENTOS OCHENTA Y NUEVE MIL, SETECIENTOS TREINTA Y SEIS PESOS M/CTE.  ($ 3.750.589.736) INCLUIDO IVA</w:t>
      </w:r>
      <w:r w:rsidR="00006F69" w:rsidRPr="00006F69">
        <w:rPr>
          <w:rFonts w:eastAsia="Arial Narrow" w:cstheme="minorHAnsi"/>
          <w:b/>
          <w:bCs/>
        </w:rPr>
        <w:t xml:space="preserve"> </w:t>
      </w:r>
      <w:r w:rsidRPr="00250055">
        <w:rPr>
          <w:rFonts w:eastAsia="ACaslonPro-Regular" w:cstheme="minorHAnsi"/>
          <w:lang w:val="es-ES" w:eastAsia="es-ES"/>
        </w:rPr>
        <w:t xml:space="preserve">para la contratación de las pólizas </w:t>
      </w:r>
      <w:r w:rsidR="00743AA3" w:rsidRPr="00250055">
        <w:rPr>
          <w:rFonts w:eastAsia="ACaslonPro-Regular" w:cstheme="minorHAnsi"/>
          <w:lang w:val="es-ES" w:eastAsia="es-ES"/>
        </w:rPr>
        <w:t>de acuerdo con el siguiente análisis:</w:t>
      </w:r>
    </w:p>
    <w:p w14:paraId="0DCD8C7E" w14:textId="2FFE4C21" w:rsidR="003758AC" w:rsidRPr="00250055" w:rsidRDefault="003758AC" w:rsidP="003758AC">
      <w:pPr>
        <w:spacing w:after="0" w:line="240" w:lineRule="auto"/>
        <w:contextualSpacing/>
        <w:jc w:val="both"/>
        <w:rPr>
          <w:rFonts w:eastAsia="Calibri" w:cstheme="minorHAnsi"/>
          <w:b/>
          <w:bCs/>
          <w:lang w:val="es-ES"/>
        </w:rPr>
      </w:pPr>
    </w:p>
    <w:p w14:paraId="7EA09966" w14:textId="31C28689" w:rsidR="003758AC" w:rsidRPr="00F25B58" w:rsidRDefault="00A654B5" w:rsidP="003758AC">
      <w:pPr>
        <w:spacing w:after="0" w:line="240" w:lineRule="auto"/>
        <w:contextualSpacing/>
        <w:jc w:val="both"/>
        <w:rPr>
          <w:rFonts w:eastAsia="Calibri" w:cstheme="minorHAnsi"/>
          <w:b/>
          <w:bCs/>
        </w:rPr>
      </w:pPr>
      <w:r w:rsidRPr="00F25B58">
        <w:rPr>
          <w:rFonts w:eastAsia="Calibri" w:cstheme="minorHAnsi"/>
          <w:b/>
          <w:bCs/>
        </w:rPr>
        <w:t>ANÁLISIS DE LA OFERTA</w:t>
      </w:r>
    </w:p>
    <w:p w14:paraId="7229D3D7" w14:textId="77777777" w:rsidR="003758AC" w:rsidRPr="00F25B58" w:rsidRDefault="003758AC" w:rsidP="003758AC">
      <w:pPr>
        <w:spacing w:after="0" w:line="240" w:lineRule="auto"/>
        <w:jc w:val="both"/>
        <w:rPr>
          <w:rFonts w:eastAsia="Calibri" w:cstheme="minorHAnsi"/>
          <w:b/>
          <w:bCs/>
        </w:rPr>
      </w:pPr>
    </w:p>
    <w:p w14:paraId="49B0CDA0" w14:textId="77777777" w:rsidR="003758AC" w:rsidRPr="00F25B58" w:rsidRDefault="003758AC" w:rsidP="003758AC">
      <w:pPr>
        <w:spacing w:after="0" w:line="240" w:lineRule="auto"/>
        <w:jc w:val="both"/>
        <w:rPr>
          <w:rFonts w:eastAsia="Calibri" w:cstheme="minorHAnsi"/>
          <w:b/>
          <w:bCs/>
        </w:rPr>
      </w:pPr>
      <w:r w:rsidRPr="00F25B58">
        <w:rPr>
          <w:rFonts w:eastAsia="Calibri" w:cstheme="minorHAnsi"/>
          <w:b/>
          <w:bCs/>
        </w:rPr>
        <w:t>Proveedores de Seguros (Compañías de Seguros Generales)</w:t>
      </w:r>
    </w:p>
    <w:p w14:paraId="1ECD49F8" w14:textId="77777777" w:rsidR="003758AC" w:rsidRPr="00F25B58" w:rsidRDefault="003758AC" w:rsidP="003758AC">
      <w:pPr>
        <w:spacing w:after="0" w:line="240" w:lineRule="auto"/>
        <w:jc w:val="both"/>
        <w:rPr>
          <w:rFonts w:eastAsia="Calibri" w:cstheme="minorHAnsi"/>
          <w:b/>
          <w:bCs/>
        </w:rPr>
      </w:pPr>
    </w:p>
    <w:p w14:paraId="449B7693" w14:textId="1B0FE720" w:rsidR="003758AC" w:rsidRPr="00F25B58" w:rsidRDefault="003758AC" w:rsidP="003758AC">
      <w:pPr>
        <w:spacing w:after="0" w:line="240" w:lineRule="auto"/>
        <w:jc w:val="both"/>
        <w:rPr>
          <w:rFonts w:eastAsia="Calibri" w:cstheme="minorHAnsi"/>
          <w:bCs/>
        </w:rPr>
      </w:pPr>
      <w:r w:rsidRPr="00F25B58">
        <w:rPr>
          <w:rFonts w:eastAsia="Calibri" w:cstheme="minorHAnsi"/>
          <w:bCs/>
        </w:rPr>
        <w:t xml:space="preserve">La suscripción de las pólizas del mercado asegurador en Colombia depende de las políticas de cada una de las </w:t>
      </w:r>
      <w:r w:rsidR="00A654B5" w:rsidRPr="00F25B58">
        <w:rPr>
          <w:rFonts w:eastAsia="Calibri" w:cstheme="minorHAnsi"/>
          <w:bCs/>
        </w:rPr>
        <w:t xml:space="preserve">aseguradoras </w:t>
      </w:r>
      <w:r w:rsidRPr="00F25B58">
        <w:rPr>
          <w:rFonts w:eastAsia="Calibri" w:cstheme="minorHAnsi"/>
          <w:bCs/>
        </w:rPr>
        <w:t xml:space="preserve">y de sus capacidades para contratar pólizas, cuya aprobación en la comercialización de ciertos productos, dependen de las autorizaciones que emita la Superintendencia Financiera de Colombia de los ramos que pueden suscribir, de allí que no todas las aseguradoras comercialicen todas las pólizas que conforman el programa de seguros de la </w:t>
      </w:r>
      <w:r w:rsidR="00457E41" w:rsidRPr="00A654B5">
        <w:rPr>
          <w:rFonts w:eastAsia="ACaslonPro-Regular" w:cstheme="minorHAnsi"/>
          <w:b/>
          <w:bCs/>
        </w:rPr>
        <w:t>Universidad Distrital Francisco José de Caldas</w:t>
      </w:r>
      <w:r w:rsidRPr="00F25B58">
        <w:rPr>
          <w:rFonts w:eastAsia="Calibri" w:cstheme="minorHAnsi"/>
          <w:bCs/>
        </w:rPr>
        <w:t>.</w:t>
      </w:r>
    </w:p>
    <w:p w14:paraId="1B20CA2F" w14:textId="77777777" w:rsidR="003758AC" w:rsidRPr="00F25B58" w:rsidRDefault="003758AC" w:rsidP="003758AC">
      <w:pPr>
        <w:spacing w:after="0" w:line="240" w:lineRule="auto"/>
        <w:jc w:val="both"/>
        <w:rPr>
          <w:rFonts w:eastAsia="Calibri" w:cstheme="minorHAnsi"/>
          <w:bCs/>
        </w:rPr>
      </w:pPr>
    </w:p>
    <w:p w14:paraId="53F92C50" w14:textId="77777777" w:rsidR="003758AC" w:rsidRPr="00F25B58" w:rsidRDefault="003758AC" w:rsidP="003758AC">
      <w:pPr>
        <w:spacing w:after="0" w:line="240" w:lineRule="auto"/>
        <w:jc w:val="both"/>
        <w:rPr>
          <w:rFonts w:eastAsia="Calibri" w:cstheme="minorHAnsi"/>
          <w:bCs/>
        </w:rPr>
      </w:pPr>
      <w:r w:rsidRPr="00F25B58">
        <w:rPr>
          <w:rFonts w:eastAsia="Calibri" w:cstheme="minorHAnsi"/>
          <w:bCs/>
        </w:rPr>
        <w:t>A continuación, se relacionan las compañías que emiten póliza para los seguros generales:</w:t>
      </w:r>
    </w:p>
    <w:p w14:paraId="1925DE98" w14:textId="77777777" w:rsidR="003758AC" w:rsidRPr="00F25B58" w:rsidRDefault="003758AC" w:rsidP="003758AC">
      <w:pPr>
        <w:spacing w:after="0" w:line="240" w:lineRule="auto"/>
        <w:jc w:val="both"/>
        <w:rPr>
          <w:rFonts w:eastAsia="Calibri" w:cstheme="minorHAnsi"/>
          <w:b/>
          <w:bCs/>
        </w:rPr>
      </w:pPr>
    </w:p>
    <w:p w14:paraId="5CD9256A"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17D3631"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LIBERTY SEGUROS S.A.</w:t>
      </w:r>
    </w:p>
    <w:p w14:paraId="0B94B1BF"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MAPFRE SEGUROS GENERALES DE COLOMBIA S.A.</w:t>
      </w:r>
    </w:p>
    <w:p w14:paraId="6273ABD9"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ZURICH COLOMBIA SEGUROS S.A.</w:t>
      </w:r>
    </w:p>
    <w:p w14:paraId="0A949E45"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BOLIVAR S.A.</w:t>
      </w:r>
    </w:p>
    <w:p w14:paraId="028868E7"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AXA COLPATRIA SEGUROS S.A.</w:t>
      </w:r>
    </w:p>
    <w:p w14:paraId="462D235C"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DEL ESTADO S.A.</w:t>
      </w:r>
    </w:p>
    <w:p w14:paraId="4CB2582A"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SEGUROS GENERALES SURAMERICANA S.A.</w:t>
      </w:r>
    </w:p>
    <w:p w14:paraId="70ED28A2"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HDI SEGUROS S.A.</w:t>
      </w:r>
    </w:p>
    <w:p w14:paraId="553CC5D6"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77E8DAB"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LIBERTY SEGUROS S.A.</w:t>
      </w:r>
    </w:p>
    <w:p w14:paraId="6D0D9450"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CHUBB SEGUROS COLOMBIA S.A.</w:t>
      </w:r>
    </w:p>
    <w:p w14:paraId="3CFFADEF"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SBS SEGUROS COLOMBIA S.A.</w:t>
      </w:r>
    </w:p>
    <w:p w14:paraId="37C080D1" w14:textId="77777777" w:rsidR="003758AC" w:rsidRPr="00F25B58" w:rsidRDefault="003758AC" w:rsidP="0073162A">
      <w:pPr>
        <w:numPr>
          <w:ilvl w:val="0"/>
          <w:numId w:val="6"/>
        </w:numPr>
        <w:spacing w:after="0" w:line="240" w:lineRule="auto"/>
        <w:contextualSpacing/>
        <w:jc w:val="both"/>
        <w:rPr>
          <w:rFonts w:eastAsia="Calibri" w:cstheme="minorHAnsi"/>
          <w:bCs/>
        </w:rPr>
      </w:pPr>
      <w:r w:rsidRPr="00F25B58">
        <w:rPr>
          <w:rFonts w:eastAsia="Calibri" w:cstheme="minorHAnsi"/>
          <w:bCs/>
        </w:rPr>
        <w:t>ALLIANZ SEGUROS S.A.</w:t>
      </w:r>
    </w:p>
    <w:p w14:paraId="6F1AA757" w14:textId="77777777" w:rsidR="003758AC" w:rsidRPr="00F25B58" w:rsidRDefault="003758AC" w:rsidP="003758AC">
      <w:pPr>
        <w:spacing w:after="0" w:line="240" w:lineRule="auto"/>
        <w:jc w:val="both"/>
        <w:rPr>
          <w:rFonts w:eastAsia="Calibri" w:cstheme="minorHAnsi"/>
          <w:b/>
          <w:bCs/>
        </w:rPr>
      </w:pPr>
    </w:p>
    <w:p w14:paraId="6C92B781" w14:textId="5D499722" w:rsidR="003758AC" w:rsidRPr="00F25B58" w:rsidRDefault="003758AC" w:rsidP="003758AC">
      <w:pPr>
        <w:spacing w:after="0" w:line="240" w:lineRule="auto"/>
        <w:jc w:val="both"/>
        <w:rPr>
          <w:rFonts w:eastAsia="Calibri" w:cstheme="minorHAnsi"/>
          <w:bCs/>
        </w:rPr>
      </w:pPr>
      <w:r w:rsidRPr="00F25B58">
        <w:rPr>
          <w:rFonts w:eastAsia="Calibri" w:cstheme="minorHAnsi"/>
          <w:bCs/>
        </w:rPr>
        <w:t xml:space="preserve">De las anteriores compañías de seguros relacionadas, las siguientes son las que suscriben riesgos de entidades estatales, pero no para todas las pólizas que conforman el programa de seguros de la </w:t>
      </w:r>
      <w:r w:rsidR="00803095" w:rsidRPr="00457E41">
        <w:rPr>
          <w:rFonts w:eastAsia="ACaslonPro-Regular" w:cstheme="minorHAnsi"/>
          <w:b/>
          <w:bCs/>
        </w:rPr>
        <w:t>Universidad Distrital Francisco José de Caldas</w:t>
      </w:r>
      <w:r w:rsidRPr="00F25B58">
        <w:rPr>
          <w:rFonts w:eastAsia="Calibri" w:cstheme="minorHAnsi"/>
          <w:bCs/>
        </w:rPr>
        <w:t>, en especial para los ramos de: Todo Riesgo Daños Materiales, Manejo, Infidelidad y riesgos financieros, Responsabilidad civil servidores públicos y Responsabilidad Civil Extracontractual, transporte de mercancías y de valores, todo riesgo construcción:</w:t>
      </w:r>
    </w:p>
    <w:p w14:paraId="5396B64A" w14:textId="77777777" w:rsidR="003758AC" w:rsidRPr="00F25B58" w:rsidRDefault="003758AC" w:rsidP="003758AC">
      <w:pPr>
        <w:spacing w:after="0" w:line="240" w:lineRule="auto"/>
        <w:jc w:val="both"/>
        <w:rPr>
          <w:rFonts w:eastAsia="Calibri" w:cstheme="minorHAnsi"/>
          <w:bCs/>
        </w:rPr>
      </w:pPr>
    </w:p>
    <w:p w14:paraId="57DC1A69"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SBS SEGUROS COLOMBIA S.A.</w:t>
      </w:r>
    </w:p>
    <w:p w14:paraId="31EE0CB5"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ALLIANZ SEGUROS S.A.</w:t>
      </w:r>
    </w:p>
    <w:p w14:paraId="146A3813"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ASEGURADORA SOLIDARIA DE COLOMBIA LTDA</w:t>
      </w:r>
    </w:p>
    <w:p w14:paraId="49F5ECD8"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CHUBB COMPAÑÍA DE SEGUROS S.A.</w:t>
      </w:r>
    </w:p>
    <w:p w14:paraId="7A8C004B" w14:textId="77777777" w:rsidR="003758AC" w:rsidRPr="00F25B58" w:rsidRDefault="003758AC" w:rsidP="0073162A">
      <w:pPr>
        <w:numPr>
          <w:ilvl w:val="0"/>
          <w:numId w:val="7"/>
        </w:numPr>
        <w:contextualSpacing/>
        <w:rPr>
          <w:rFonts w:eastAsia="Calibri" w:cstheme="minorHAnsi"/>
          <w:bCs/>
        </w:rPr>
      </w:pPr>
      <w:r w:rsidRPr="00F25B58">
        <w:rPr>
          <w:rFonts w:eastAsia="Calibri" w:cstheme="minorHAnsi"/>
          <w:bCs/>
        </w:rPr>
        <w:t>HDI SEGUROS S.A.</w:t>
      </w:r>
    </w:p>
    <w:p w14:paraId="67F437AD"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AXA COLPATRIA SEGUROS S.A.</w:t>
      </w:r>
    </w:p>
    <w:p w14:paraId="1F08E08F"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SEGUROS DEL ESTADO S.A.</w:t>
      </w:r>
    </w:p>
    <w:p w14:paraId="329B9954"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LA PREVISORA SA COMPAÑÍA DE SEGUROS</w:t>
      </w:r>
    </w:p>
    <w:p w14:paraId="1655FB04"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MAPFRE SEGUROS GENERALES DE COLOMBIA S.A.</w:t>
      </w:r>
    </w:p>
    <w:p w14:paraId="7B8B9793" w14:textId="77777777" w:rsidR="003758AC" w:rsidRPr="00F25B58" w:rsidRDefault="003758AC" w:rsidP="0073162A">
      <w:pPr>
        <w:numPr>
          <w:ilvl w:val="0"/>
          <w:numId w:val="7"/>
        </w:numPr>
        <w:spacing w:after="0" w:line="240" w:lineRule="auto"/>
        <w:contextualSpacing/>
        <w:jc w:val="both"/>
        <w:rPr>
          <w:rFonts w:eastAsia="Calibri" w:cstheme="minorHAnsi"/>
          <w:bCs/>
        </w:rPr>
      </w:pPr>
      <w:r w:rsidRPr="00F25B58">
        <w:rPr>
          <w:rFonts w:eastAsia="Calibri" w:cstheme="minorHAnsi"/>
          <w:bCs/>
        </w:rPr>
        <w:t>ZURICH COLOMBIA SEGUROS S.A.</w:t>
      </w:r>
    </w:p>
    <w:p w14:paraId="44224110" w14:textId="77777777" w:rsidR="003758AC" w:rsidRPr="00F25B58" w:rsidRDefault="003758AC" w:rsidP="003758AC">
      <w:pPr>
        <w:spacing w:after="0" w:line="240" w:lineRule="auto"/>
        <w:jc w:val="both"/>
        <w:rPr>
          <w:rFonts w:eastAsia="Calibri" w:cstheme="minorHAnsi"/>
          <w:bCs/>
          <w:u w:val="single"/>
        </w:rPr>
      </w:pPr>
    </w:p>
    <w:p w14:paraId="5A2E968F" w14:textId="36B07CD0" w:rsidR="007C4F15" w:rsidRPr="00F25B58" w:rsidRDefault="00542641" w:rsidP="003758AC">
      <w:pPr>
        <w:spacing w:after="0" w:line="240" w:lineRule="auto"/>
        <w:jc w:val="both"/>
        <w:rPr>
          <w:rFonts w:eastAsia="Calibri" w:cstheme="minorHAnsi"/>
          <w:bCs/>
          <w:u w:val="single"/>
        </w:rPr>
      </w:pPr>
      <w:r w:rsidRPr="00F25B58">
        <w:rPr>
          <w:rFonts w:eastAsia="Calibri" w:cstheme="minorHAnsi"/>
          <w:bCs/>
          <w:u w:val="single"/>
        </w:rPr>
        <w:t>Compañías de seguros de vida</w:t>
      </w:r>
    </w:p>
    <w:p w14:paraId="2E5D3B4F" w14:textId="145EEFBD" w:rsidR="007C4F15" w:rsidRPr="00F25B58" w:rsidRDefault="007C4F15" w:rsidP="003758AC">
      <w:pPr>
        <w:spacing w:after="0" w:line="240" w:lineRule="auto"/>
        <w:jc w:val="both"/>
        <w:rPr>
          <w:rFonts w:eastAsia="Calibri" w:cstheme="minorHAnsi"/>
          <w:bCs/>
          <w:u w:val="single"/>
        </w:rPr>
      </w:pPr>
    </w:p>
    <w:p w14:paraId="36EF0EC5"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ALLIANZ SEGUROS DE VIDA S.A</w:t>
      </w:r>
    </w:p>
    <w:p w14:paraId="0C16684C"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AXA COLPATRIA SEGUROS DE VIDA S.A.</w:t>
      </w:r>
    </w:p>
    <w:p w14:paraId="52ABDF16"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lastRenderedPageBreak/>
        <w:t>COMPAÑÍA DE SEGUROS BOLÍVAR S.A.</w:t>
      </w:r>
    </w:p>
    <w:p w14:paraId="269A20AA"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COMPAÑÍA DE SEGUROS DE VIDA AURORA S.A.</w:t>
      </w:r>
    </w:p>
    <w:p w14:paraId="01E3F327"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OLD MUTUAL COMPAÑÍA DE SEGUROS DE VIDA S.A.</w:t>
      </w:r>
    </w:p>
    <w:p w14:paraId="20F3C708"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HDI SEGUROS DE VIDA S.A.</w:t>
      </w:r>
    </w:p>
    <w:p w14:paraId="432749A9"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SURAMERICANA S.A.</w:t>
      </w:r>
    </w:p>
    <w:p w14:paraId="5541BB60"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METLIFE COLOMBIA SEGUROS DE VIDA S.A.</w:t>
      </w:r>
    </w:p>
    <w:p w14:paraId="55BE29B1"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PAN AMERICAN LIFE DE COLOMBIA COMPAÑÍA DE SEGUROS S.A.</w:t>
      </w:r>
    </w:p>
    <w:p w14:paraId="7B5240A4"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ALFA S.A.</w:t>
      </w:r>
    </w:p>
    <w:p w14:paraId="1D86CF83"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DEL ESTADO S.A.</w:t>
      </w:r>
    </w:p>
    <w:p w14:paraId="57D398D9"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GLOBAL SEGUROS DE VIDA S.A.</w:t>
      </w:r>
    </w:p>
    <w:p w14:paraId="6B9BA8E0"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POSITIVA COMPAÑÍA DE SEGUROS S.A.</w:t>
      </w:r>
    </w:p>
    <w:p w14:paraId="4DAA96BB"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COMPAÑÍA DE SEGUROS DE VIDA COLMENA S.A.</w:t>
      </w:r>
    </w:p>
    <w:p w14:paraId="2465596E"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BBVA SEGUROS DE VIDA COLOMBIA S.A.</w:t>
      </w:r>
    </w:p>
    <w:p w14:paraId="5F248E1A"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LA EQUIDAD SEGUROS DE VIDA ORGANISMO COOPERATIVO S.A.</w:t>
      </w:r>
    </w:p>
    <w:p w14:paraId="186C5DAE" w14:textId="77777777"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MAPFRE COLOMBIA VIDA SEGUROS S.A.</w:t>
      </w:r>
    </w:p>
    <w:p w14:paraId="191FDEC2" w14:textId="105294B6" w:rsidR="007C4F15" w:rsidRPr="00F25B58" w:rsidRDefault="007C4F15"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BMI COLOMBIA COMPAÑÍA DE SEGUROS DE VIDA S.A.</w:t>
      </w:r>
    </w:p>
    <w:p w14:paraId="11E2E628" w14:textId="2BB11633" w:rsidR="007C4F15" w:rsidRPr="00F25B58" w:rsidRDefault="007C4F15" w:rsidP="003758AC">
      <w:pPr>
        <w:spacing w:after="0" w:line="240" w:lineRule="auto"/>
        <w:jc w:val="both"/>
        <w:rPr>
          <w:rFonts w:eastAsia="Calibri" w:cstheme="minorHAnsi"/>
          <w:bCs/>
          <w:u w:val="single"/>
        </w:rPr>
      </w:pPr>
    </w:p>
    <w:p w14:paraId="43AD65D0" w14:textId="1BFAD7C6" w:rsidR="00542641" w:rsidRPr="00F25B58" w:rsidRDefault="00542641" w:rsidP="003758AC">
      <w:pPr>
        <w:spacing w:after="0" w:line="240" w:lineRule="auto"/>
        <w:jc w:val="both"/>
        <w:rPr>
          <w:rFonts w:eastAsia="Calibri" w:cstheme="minorHAnsi"/>
          <w:bCs/>
          <w:u w:val="single"/>
        </w:rPr>
      </w:pPr>
      <w:r w:rsidRPr="00F25B58">
        <w:rPr>
          <w:rFonts w:eastAsia="Calibri" w:cstheme="minorHAnsi"/>
          <w:bCs/>
          <w:u w:val="single"/>
        </w:rPr>
        <w:t>Compañías que participan en procesos de entidades del estado:</w:t>
      </w:r>
    </w:p>
    <w:p w14:paraId="538FBBD8" w14:textId="77777777" w:rsidR="00542641" w:rsidRPr="00F25B58" w:rsidRDefault="00542641" w:rsidP="00542641">
      <w:pPr>
        <w:spacing w:after="0" w:line="240" w:lineRule="auto"/>
        <w:jc w:val="both"/>
        <w:rPr>
          <w:rFonts w:eastAsia="Calibri" w:cstheme="minorHAnsi"/>
          <w:bCs/>
          <w:u w:val="single"/>
        </w:rPr>
      </w:pPr>
    </w:p>
    <w:p w14:paraId="4C26219D"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ALLIANZ SEGUROS DE VIDA S.A</w:t>
      </w:r>
    </w:p>
    <w:p w14:paraId="6DE45D33"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AXA COLPATRIA SEGUROS DE VIDA S.A.</w:t>
      </w:r>
    </w:p>
    <w:p w14:paraId="182BCA04"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HDI SEGUROS DE VIDA S.A.</w:t>
      </w:r>
    </w:p>
    <w:p w14:paraId="62F1BD50"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SURAMERICANA S.A.</w:t>
      </w:r>
    </w:p>
    <w:p w14:paraId="426A47B8"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SEGUROS DE VIDA DEL ESTADO S.A.</w:t>
      </w:r>
    </w:p>
    <w:p w14:paraId="1010EB59"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POSITIVA COMPAÑÍA DE SEGUROS S.A.</w:t>
      </w:r>
    </w:p>
    <w:p w14:paraId="4A263EDC" w14:textId="77777777" w:rsidR="00542641" w:rsidRPr="00F25B58" w:rsidRDefault="00542641" w:rsidP="0073162A">
      <w:pPr>
        <w:pStyle w:val="Prrafodelista"/>
        <w:numPr>
          <w:ilvl w:val="0"/>
          <w:numId w:val="8"/>
        </w:numPr>
        <w:spacing w:after="0" w:line="240" w:lineRule="auto"/>
        <w:jc w:val="both"/>
        <w:rPr>
          <w:rFonts w:eastAsia="Calibri" w:cstheme="minorHAnsi"/>
          <w:bCs/>
        </w:rPr>
      </w:pPr>
      <w:r w:rsidRPr="00F25B58">
        <w:rPr>
          <w:rFonts w:eastAsia="Calibri" w:cstheme="minorHAnsi"/>
          <w:bCs/>
        </w:rPr>
        <w:t>MAPFRE COLOMBIA VIDA SEGUROS S.A.</w:t>
      </w:r>
    </w:p>
    <w:p w14:paraId="7BD63875" w14:textId="77777777" w:rsidR="00542641" w:rsidRPr="00F25B58" w:rsidRDefault="00542641" w:rsidP="003758AC">
      <w:pPr>
        <w:spacing w:after="0" w:line="240" w:lineRule="auto"/>
        <w:jc w:val="both"/>
        <w:rPr>
          <w:rFonts w:eastAsia="Calibri" w:cstheme="minorHAnsi"/>
          <w:bCs/>
          <w:u w:val="single"/>
        </w:rPr>
      </w:pPr>
    </w:p>
    <w:p w14:paraId="60E83278" w14:textId="77777777" w:rsidR="003758AC" w:rsidRPr="00F25B58" w:rsidRDefault="003758AC" w:rsidP="003758AC">
      <w:pPr>
        <w:spacing w:after="0" w:line="240" w:lineRule="auto"/>
        <w:contextualSpacing/>
        <w:jc w:val="both"/>
        <w:rPr>
          <w:rFonts w:eastAsia="Calibri" w:cstheme="minorHAnsi"/>
          <w:b/>
          <w:bCs/>
        </w:rPr>
      </w:pPr>
      <w:r w:rsidRPr="00F25B58">
        <w:rPr>
          <w:rFonts w:eastAsia="Calibri" w:cstheme="minorHAnsi"/>
          <w:b/>
          <w:bCs/>
        </w:rPr>
        <w:t>Presupuesto del Programa de Seguros</w:t>
      </w:r>
    </w:p>
    <w:p w14:paraId="46E511F1" w14:textId="77777777" w:rsidR="003758AC" w:rsidRPr="00F25B58" w:rsidRDefault="003758AC" w:rsidP="003758AC">
      <w:pPr>
        <w:spacing w:after="0" w:line="240" w:lineRule="auto"/>
        <w:jc w:val="both"/>
        <w:rPr>
          <w:rFonts w:eastAsia="Calibri" w:cstheme="minorHAnsi"/>
        </w:rPr>
      </w:pPr>
    </w:p>
    <w:p w14:paraId="5CEE170D" w14:textId="33A285F4" w:rsidR="003758AC" w:rsidRPr="00F25B58" w:rsidRDefault="003758AC" w:rsidP="003758AC">
      <w:pPr>
        <w:spacing w:after="0" w:line="240" w:lineRule="auto"/>
        <w:jc w:val="both"/>
        <w:rPr>
          <w:rFonts w:eastAsia="Calibri" w:cstheme="minorHAnsi"/>
        </w:rPr>
      </w:pPr>
      <w:r w:rsidRPr="00F25B58">
        <w:rPr>
          <w:rFonts w:eastAsia="Calibri" w:cstheme="minorHAnsi"/>
        </w:rPr>
        <w:t xml:space="preserve">Para establecer el presupuesto estimado de este proceso de selección, utilizamos las tasas promedio del mercado para entidades similares a la </w:t>
      </w:r>
      <w:r w:rsidR="00C640C1" w:rsidRPr="00457E41">
        <w:rPr>
          <w:rFonts w:eastAsia="ACaslonPro-Regular" w:cstheme="minorHAnsi"/>
          <w:b/>
          <w:bCs/>
        </w:rPr>
        <w:t>Universidad Distrital Francisco José de Caldas</w:t>
      </w:r>
      <w:r w:rsidR="00C640C1" w:rsidRPr="00F25B58">
        <w:rPr>
          <w:rFonts w:eastAsia="Calibri" w:cstheme="minorHAnsi"/>
        </w:rPr>
        <w:t xml:space="preserve"> </w:t>
      </w:r>
      <w:r w:rsidRPr="00F25B58">
        <w:rPr>
          <w:rFonts w:eastAsia="Calibri" w:cstheme="minorHAnsi"/>
        </w:rPr>
        <w:t>y las que las compañías de seguros han aplicado durante las vigencias del programa de seguros de la</w:t>
      </w:r>
      <w:r w:rsidR="008E7694" w:rsidRPr="00F25B58">
        <w:rPr>
          <w:rFonts w:eastAsia="ACaslonPro-Regular" w:cstheme="minorHAnsi"/>
        </w:rPr>
        <w:t xml:space="preserve"> </w:t>
      </w:r>
      <w:r w:rsidR="00C640C1" w:rsidRPr="00457E41">
        <w:rPr>
          <w:rFonts w:eastAsia="ACaslonPro-Regular" w:cstheme="minorHAnsi"/>
          <w:b/>
          <w:bCs/>
        </w:rPr>
        <w:t>Universidad Distrital Francisco José de Caldas</w:t>
      </w:r>
      <w:r w:rsidR="008E7694" w:rsidRPr="00F25B58">
        <w:rPr>
          <w:rFonts w:eastAsia="Calibri" w:cstheme="minorHAnsi"/>
          <w:bCs/>
        </w:rPr>
        <w:t xml:space="preserve"> </w:t>
      </w:r>
      <w:r w:rsidRPr="00F25B58">
        <w:rPr>
          <w:rFonts w:eastAsia="Calibri" w:cstheme="minorHAnsi"/>
        </w:rPr>
        <w:t>correspondientes a los años 201</w:t>
      </w:r>
      <w:r w:rsidR="00B3591E" w:rsidRPr="00F25B58">
        <w:rPr>
          <w:rFonts w:eastAsia="Calibri" w:cstheme="minorHAnsi"/>
        </w:rPr>
        <w:t>9</w:t>
      </w:r>
      <w:r w:rsidRPr="00F25B58">
        <w:rPr>
          <w:rFonts w:eastAsia="Calibri" w:cstheme="minorHAnsi"/>
        </w:rPr>
        <w:t xml:space="preserve"> al 202</w:t>
      </w:r>
      <w:r w:rsidR="00497E81">
        <w:rPr>
          <w:rFonts w:eastAsia="Calibri" w:cstheme="minorHAnsi"/>
        </w:rPr>
        <w:t>2</w:t>
      </w:r>
      <w:r w:rsidRPr="00F25B58">
        <w:rPr>
          <w:rFonts w:eastAsia="Calibri" w:cstheme="minorHAnsi"/>
        </w:rPr>
        <w:t>, considerando los nuevos valores asegurados determinados para la vigencia que se va a contratar. En lo que respecta al programa de seguros de bienes propios, hemos promediado las primas con base en la última contratación, y ajustado a la siniestralidad de los últimos tres años.</w:t>
      </w:r>
    </w:p>
    <w:p w14:paraId="34F73905" w14:textId="77777777" w:rsidR="003758AC" w:rsidRPr="00F25B58" w:rsidRDefault="003758AC" w:rsidP="00C702C6">
      <w:pPr>
        <w:spacing w:after="0" w:line="240" w:lineRule="auto"/>
        <w:ind w:left="708" w:hanging="708"/>
        <w:jc w:val="both"/>
        <w:rPr>
          <w:rFonts w:eastAsia="Calibri" w:cstheme="minorHAnsi"/>
        </w:rPr>
      </w:pPr>
    </w:p>
    <w:p w14:paraId="0B5352DB" w14:textId="1BDCFD5B" w:rsidR="003758AC" w:rsidRPr="00250055" w:rsidRDefault="003758AC" w:rsidP="003758AC">
      <w:pPr>
        <w:spacing w:after="0" w:line="240" w:lineRule="auto"/>
        <w:jc w:val="both"/>
        <w:rPr>
          <w:rFonts w:eastAsia="Calibri" w:cstheme="minorHAnsi"/>
        </w:rPr>
      </w:pPr>
      <w:r w:rsidRPr="00250055">
        <w:rPr>
          <w:rFonts w:eastAsia="Calibri" w:cstheme="minorHAnsi"/>
        </w:rPr>
        <w:t xml:space="preserve">Del anterior análisis y el incremento en la estadística siniestral del mercado asegurador, nos resulta un presupuesto que debe tener la </w:t>
      </w:r>
      <w:r w:rsidR="005501C9" w:rsidRPr="00250055">
        <w:rPr>
          <w:rFonts w:eastAsia="ACaslonPro-Regular" w:cstheme="minorHAnsi"/>
        </w:rPr>
        <w:t>entidad</w:t>
      </w:r>
      <w:r w:rsidR="005501C9" w:rsidRPr="00250055">
        <w:rPr>
          <w:rFonts w:eastAsia="Calibri" w:cstheme="minorHAnsi"/>
        </w:rPr>
        <w:t xml:space="preserve"> </w:t>
      </w:r>
      <w:r w:rsidRPr="00250055">
        <w:rPr>
          <w:rFonts w:eastAsia="Calibri" w:cstheme="minorHAnsi"/>
        </w:rPr>
        <w:t xml:space="preserve">para contratar sus pólizas de bienes propios por un periodo </w:t>
      </w:r>
      <w:bookmarkStart w:id="4" w:name="_Hlk44063137"/>
      <w:r w:rsidR="00C702C6">
        <w:rPr>
          <w:rFonts w:eastAsia="Calibri" w:cstheme="minorHAnsi"/>
        </w:rPr>
        <w:t>12 meses</w:t>
      </w:r>
      <w:r w:rsidRPr="00250055">
        <w:rPr>
          <w:rFonts w:eastAsia="Calibri" w:cstheme="minorHAnsi"/>
        </w:rPr>
        <w:t xml:space="preserve">, </w:t>
      </w:r>
      <w:bookmarkEnd w:id="4"/>
      <w:r w:rsidRPr="00250055">
        <w:rPr>
          <w:rFonts w:eastAsia="Calibri" w:cstheme="minorHAnsi"/>
        </w:rPr>
        <w:t>de</w:t>
      </w:r>
      <w:bookmarkStart w:id="5" w:name="_Hlk39561380"/>
      <w:r w:rsidRPr="00250055">
        <w:rPr>
          <w:rFonts w:eastAsia="Calibri" w:cstheme="minorHAnsi"/>
        </w:rPr>
        <w:t xml:space="preserve"> </w:t>
      </w:r>
      <w:bookmarkEnd w:id="5"/>
      <w:r w:rsidR="00213AC1" w:rsidRPr="00213AC1">
        <w:rPr>
          <w:rFonts w:eastAsia="Arial Narrow" w:cstheme="minorHAnsi"/>
          <w:b/>
          <w:bCs/>
        </w:rPr>
        <w:t>TRES MIL SETECIENTOS CINCUENTA MILLONES, QUINIENTOS OCHENTA Y NUEVE MIL, SETECIENTOS TREINTA Y SEIS PESOS M/CTE.  ($ 3.750.589.736) INCLUIDO IVA</w:t>
      </w:r>
      <w:r w:rsidRPr="00F1292F">
        <w:rPr>
          <w:rFonts w:eastAsia="Times New Roman" w:cstheme="minorHAnsi"/>
          <w:b/>
          <w:bCs/>
          <w:lang w:eastAsia="es-CO"/>
        </w:rPr>
        <w:t xml:space="preserve">, </w:t>
      </w:r>
      <w:r w:rsidRPr="00250055">
        <w:rPr>
          <w:rFonts w:eastAsia="Calibri" w:cstheme="minorHAnsi"/>
        </w:rPr>
        <w:t>calculado sobre el “</w:t>
      </w:r>
      <w:r w:rsidRPr="00250055">
        <w:rPr>
          <w:rFonts w:eastAsia="Calibri" w:cstheme="minorHAnsi"/>
          <w:i/>
        </w:rPr>
        <w:t>promedio ajustado</w:t>
      </w:r>
      <w:r w:rsidRPr="00250055">
        <w:rPr>
          <w:rFonts w:eastAsia="Calibri" w:cstheme="minorHAnsi"/>
        </w:rPr>
        <w:t xml:space="preserve">” frente la siniestralidad registrada y el comportamiento de tasas registrado por el mercado asegurador en los últimos años. </w:t>
      </w:r>
    </w:p>
    <w:p w14:paraId="169E4D77" w14:textId="77777777" w:rsidR="003758AC" w:rsidRPr="00250055" w:rsidRDefault="003758AC" w:rsidP="003758AC">
      <w:pPr>
        <w:spacing w:after="0" w:line="240" w:lineRule="auto"/>
        <w:jc w:val="both"/>
        <w:rPr>
          <w:rFonts w:eastAsia="Calibri" w:cstheme="minorHAnsi"/>
        </w:rPr>
      </w:pPr>
    </w:p>
    <w:p w14:paraId="520E80A8" w14:textId="3839FB59" w:rsidR="003758AC" w:rsidRDefault="003758AC" w:rsidP="003758AC">
      <w:pPr>
        <w:spacing w:after="0" w:line="240" w:lineRule="auto"/>
        <w:jc w:val="both"/>
        <w:rPr>
          <w:rFonts w:eastAsia="Calibri" w:cstheme="minorHAnsi"/>
        </w:rPr>
      </w:pPr>
      <w:r w:rsidRPr="00250055">
        <w:rPr>
          <w:rFonts w:eastAsia="Calibri" w:cstheme="minorHAnsi"/>
        </w:rPr>
        <w:t>El presupuesto se divide así:</w:t>
      </w:r>
    </w:p>
    <w:p w14:paraId="236C6731" w14:textId="77777777" w:rsidR="004559F4" w:rsidRDefault="004559F4" w:rsidP="003758AC">
      <w:pPr>
        <w:spacing w:after="0" w:line="240" w:lineRule="auto"/>
        <w:jc w:val="both"/>
        <w:rPr>
          <w:rFonts w:eastAsia="Calibri" w:cstheme="minorHAnsi"/>
        </w:rPr>
      </w:pPr>
    </w:p>
    <w:p w14:paraId="09B021FD" w14:textId="77777777" w:rsidR="00947EB5" w:rsidRPr="00250055" w:rsidRDefault="00947EB5" w:rsidP="003758AC">
      <w:pPr>
        <w:spacing w:after="0" w:line="240" w:lineRule="auto"/>
        <w:jc w:val="both"/>
        <w:rPr>
          <w:rFonts w:eastAsia="Calibri" w:cstheme="minorHAnsi"/>
        </w:rPr>
      </w:pPr>
    </w:p>
    <w:p w14:paraId="677B42BC" w14:textId="15401867" w:rsidR="00A03DC9" w:rsidRPr="00F25B58" w:rsidRDefault="00AE6CFB" w:rsidP="00DA481B">
      <w:pPr>
        <w:spacing w:after="0" w:line="240" w:lineRule="auto"/>
        <w:jc w:val="center"/>
        <w:rPr>
          <w:rFonts w:eastAsia="Calibri" w:cstheme="minorHAnsi"/>
        </w:rPr>
      </w:pPr>
      <w:r w:rsidRPr="00AE6CFB">
        <w:lastRenderedPageBreak/>
        <w:drawing>
          <wp:inline distT="0" distB="0" distL="0" distR="0" wp14:anchorId="7A79D29E" wp14:editId="0C426EE8">
            <wp:extent cx="5400040" cy="33426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342640"/>
                    </a:xfrm>
                    <a:prstGeom prst="rect">
                      <a:avLst/>
                    </a:prstGeom>
                    <a:noFill/>
                    <a:ln>
                      <a:noFill/>
                    </a:ln>
                  </pic:spPr>
                </pic:pic>
              </a:graphicData>
            </a:graphic>
          </wp:inline>
        </w:drawing>
      </w:r>
    </w:p>
    <w:p w14:paraId="05A27A0C" w14:textId="77777777" w:rsidR="00E661C5" w:rsidRPr="00F25B58" w:rsidRDefault="00E661C5" w:rsidP="003758AC">
      <w:pPr>
        <w:spacing w:after="0" w:line="240" w:lineRule="auto"/>
        <w:jc w:val="both"/>
        <w:rPr>
          <w:rFonts w:eastAsia="Calibri" w:cstheme="minorHAnsi"/>
        </w:rPr>
      </w:pPr>
    </w:p>
    <w:p w14:paraId="5902C836" w14:textId="737E67A3" w:rsidR="00121F6E" w:rsidRPr="00F25B58" w:rsidRDefault="00121F6E" w:rsidP="00010FB4">
      <w:pPr>
        <w:spacing w:after="160" w:line="259" w:lineRule="auto"/>
        <w:rPr>
          <w:rFonts w:cstheme="minorHAnsi"/>
          <w:b/>
          <w:bCs/>
          <w:u w:val="single"/>
        </w:rPr>
      </w:pPr>
      <w:bookmarkStart w:id="6" w:name="_Hlk57214986"/>
      <w:r w:rsidRPr="00F25B58">
        <w:rPr>
          <w:rFonts w:cstheme="minorHAnsi"/>
          <w:b/>
          <w:bCs/>
          <w:u w:val="single"/>
        </w:rPr>
        <w:t>PERSPECTIVA DE ANÁLISIS DE RIESGO</w:t>
      </w:r>
    </w:p>
    <w:bookmarkEnd w:id="6"/>
    <w:p w14:paraId="477521D3" w14:textId="38BAE78C" w:rsidR="0008009D" w:rsidRPr="00F25B58" w:rsidRDefault="0008009D" w:rsidP="00370EF1">
      <w:pPr>
        <w:spacing w:after="0" w:line="240" w:lineRule="auto"/>
        <w:jc w:val="both"/>
        <w:rPr>
          <w:rFonts w:cstheme="minorHAnsi"/>
        </w:rPr>
      </w:pPr>
    </w:p>
    <w:p w14:paraId="4A5820EC" w14:textId="4948FF40" w:rsidR="007912F7" w:rsidRPr="00251CDB" w:rsidRDefault="007912F7" w:rsidP="00370EF1">
      <w:pPr>
        <w:pStyle w:val="Prrafodelista"/>
        <w:numPr>
          <w:ilvl w:val="1"/>
          <w:numId w:val="1"/>
        </w:numPr>
        <w:autoSpaceDE w:val="0"/>
        <w:autoSpaceDN w:val="0"/>
        <w:adjustRightInd w:val="0"/>
        <w:spacing w:after="0" w:line="240" w:lineRule="auto"/>
        <w:jc w:val="both"/>
        <w:rPr>
          <w:rFonts w:eastAsia="Calibri" w:cstheme="minorHAnsi"/>
          <w:iCs/>
        </w:rPr>
      </w:pPr>
      <w:r w:rsidRPr="00F25B58">
        <w:rPr>
          <w:rFonts w:eastAsia="Calibri" w:cstheme="minorHAnsi"/>
          <w:b/>
          <w:bCs/>
          <w:color w:val="000000"/>
          <w:lang w:val="es-ES"/>
        </w:rPr>
        <w:t>ANÁLISIS DE RIESGO Y LA FORMA DE MITIGARLO</w:t>
      </w:r>
    </w:p>
    <w:p w14:paraId="31F3DC38" w14:textId="77777777" w:rsidR="007912F7" w:rsidRPr="00251CDB" w:rsidRDefault="007912F7" w:rsidP="00370EF1">
      <w:pPr>
        <w:tabs>
          <w:tab w:val="left" w:pos="709"/>
          <w:tab w:val="left" w:pos="1132"/>
        </w:tabs>
        <w:autoSpaceDN w:val="0"/>
        <w:spacing w:after="0" w:line="240" w:lineRule="auto"/>
        <w:textAlignment w:val="baseline"/>
        <w:rPr>
          <w:rFonts w:eastAsia="Calibri" w:cstheme="minorHAnsi"/>
          <w:snapToGrid w:val="0"/>
        </w:rPr>
      </w:pPr>
    </w:p>
    <w:p w14:paraId="73542C0E" w14:textId="29F2E9A0" w:rsidR="007912F7" w:rsidRPr="00F25B58" w:rsidRDefault="007912F7" w:rsidP="00370EF1">
      <w:pPr>
        <w:tabs>
          <w:tab w:val="left" w:pos="709"/>
          <w:tab w:val="left" w:pos="1132"/>
        </w:tabs>
        <w:autoSpaceDN w:val="0"/>
        <w:spacing w:after="0" w:line="240" w:lineRule="auto"/>
        <w:jc w:val="both"/>
        <w:textAlignment w:val="baseline"/>
        <w:rPr>
          <w:rFonts w:eastAsia="Arial" w:cstheme="minorHAnsi"/>
          <w:color w:val="000000"/>
          <w:kern w:val="3"/>
          <w:lang w:val="es-ES" w:eastAsia="zh-CN"/>
        </w:rPr>
      </w:pPr>
      <w:r w:rsidRPr="00251CDB">
        <w:rPr>
          <w:rFonts w:eastAsia="Calibri" w:cstheme="minorHAnsi"/>
          <w:snapToGrid w:val="0"/>
        </w:rPr>
        <w:t xml:space="preserve">La </w:t>
      </w:r>
      <w:r w:rsidR="00370EF1" w:rsidRPr="00251CDB">
        <w:rPr>
          <w:rFonts w:eastAsia="ACaslonPro-Regular" w:cstheme="minorHAnsi"/>
          <w:b/>
          <w:bCs/>
        </w:rPr>
        <w:t>Universidad Distrital Francisco José de Caldas</w:t>
      </w:r>
      <w:r w:rsidRPr="00251CDB">
        <w:rPr>
          <w:rFonts w:eastAsia="Calibri" w:cstheme="minorHAnsi"/>
          <w:snapToGrid w:val="0"/>
        </w:rPr>
        <w:t xml:space="preserve"> </w:t>
      </w:r>
      <w:r w:rsidRPr="00251CDB">
        <w:rPr>
          <w:rFonts w:eastAsia="Arial" w:cstheme="minorHAnsi"/>
          <w:kern w:val="3"/>
          <w:lang w:val="es-ES" w:eastAsia="zh-CN"/>
        </w:rPr>
        <w:t xml:space="preserve">identifica </w:t>
      </w:r>
      <w:r w:rsidRPr="00F25B58">
        <w:rPr>
          <w:rFonts w:eastAsia="Arial" w:cstheme="minorHAnsi"/>
          <w:color w:val="000000"/>
          <w:kern w:val="3"/>
          <w:lang w:val="es-ES" w:eastAsia="zh-CN"/>
        </w:rPr>
        <w:t>y proyecta la asignación de los riesgos previsibles que pueden llegar a afectar el equilibrio económico del futuro contrato a celebrarse, los cuales se encuentran en cuadro adjunto como Anexo</w:t>
      </w:r>
      <w:r w:rsidR="00AC5F48" w:rsidRPr="00F25B58">
        <w:rPr>
          <w:rFonts w:eastAsia="Arial" w:cstheme="minorHAnsi"/>
          <w:color w:val="000000"/>
          <w:kern w:val="3"/>
          <w:lang w:val="es-ES" w:eastAsia="zh-CN"/>
        </w:rPr>
        <w:t xml:space="preserve"> 12.</w:t>
      </w:r>
    </w:p>
    <w:p w14:paraId="7F2AFB82" w14:textId="73B1F575" w:rsidR="007912F7" w:rsidRPr="00F25B58" w:rsidRDefault="007912F7" w:rsidP="00370EF1">
      <w:pPr>
        <w:tabs>
          <w:tab w:val="left" w:pos="709"/>
          <w:tab w:val="left" w:pos="1132"/>
        </w:tabs>
        <w:autoSpaceDN w:val="0"/>
        <w:spacing w:after="0" w:line="240" w:lineRule="auto"/>
        <w:ind w:hanging="283"/>
        <w:jc w:val="both"/>
        <w:textAlignment w:val="baseline"/>
        <w:rPr>
          <w:rFonts w:eastAsia="Calibri" w:cstheme="minorHAnsi"/>
          <w:color w:val="000000"/>
          <w:kern w:val="3"/>
          <w:lang w:val="es-ES" w:eastAsia="zh-CN"/>
        </w:rPr>
      </w:pPr>
    </w:p>
    <w:p w14:paraId="2EFFB61E" w14:textId="77777777" w:rsidR="007912F7" w:rsidRPr="00F25B58" w:rsidRDefault="007912F7" w:rsidP="00370EF1">
      <w:pPr>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Adicionalmente, es menester poner de presente el siguiente análisis para precisar la exposición de la entidad al RIESGO DE DESEQUILIBRIO ECONÓMICO:</w:t>
      </w:r>
    </w:p>
    <w:p w14:paraId="685D979D" w14:textId="77777777" w:rsidR="00370EF1" w:rsidRPr="00F25B58" w:rsidRDefault="00370EF1" w:rsidP="00370EF1">
      <w:pPr>
        <w:autoSpaceDN w:val="0"/>
        <w:spacing w:after="0" w:line="240" w:lineRule="auto"/>
        <w:jc w:val="both"/>
        <w:textAlignment w:val="baseline"/>
        <w:rPr>
          <w:rFonts w:eastAsia="Calibri" w:cstheme="minorHAnsi"/>
          <w:color w:val="000000"/>
          <w:kern w:val="3"/>
          <w:lang w:val="es-ES" w:eastAsia="zh-CN"/>
        </w:rPr>
      </w:pPr>
    </w:p>
    <w:p w14:paraId="7E61FA0D" w14:textId="6033C8B1" w:rsidR="007912F7" w:rsidRPr="00F25B58" w:rsidRDefault="007912F7" w:rsidP="00370EF1">
      <w:pPr>
        <w:pStyle w:val="Prrafodelista"/>
        <w:numPr>
          <w:ilvl w:val="1"/>
          <w:numId w:val="1"/>
        </w:numPr>
        <w:suppressAutoHyphens/>
        <w:autoSpaceDE w:val="0"/>
        <w:autoSpaceDN w:val="0"/>
        <w:spacing w:after="0" w:line="240" w:lineRule="auto"/>
        <w:jc w:val="both"/>
        <w:textAlignment w:val="baseline"/>
        <w:rPr>
          <w:rFonts w:eastAsia="Calibri" w:cstheme="minorHAnsi"/>
          <w:b/>
          <w:bCs/>
          <w:color w:val="000000"/>
          <w:lang w:val="es-ES"/>
        </w:rPr>
      </w:pPr>
      <w:r w:rsidRPr="00F25B58">
        <w:rPr>
          <w:rFonts w:eastAsia="Calibri" w:cstheme="minorHAnsi"/>
          <w:b/>
          <w:bCs/>
          <w:color w:val="000000"/>
          <w:lang w:val="es-ES"/>
        </w:rPr>
        <w:t>RIESGO DE DESEQUILIBRIO ECONÓMICO</w:t>
      </w:r>
    </w:p>
    <w:p w14:paraId="0FC2C94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EB04258" w14:textId="4A4C61BA" w:rsidR="007912F7" w:rsidRPr="00F25B58" w:rsidRDefault="007912F7" w:rsidP="00370EF1">
      <w:pPr>
        <w:tabs>
          <w:tab w:val="left" w:pos="709"/>
          <w:tab w:val="left" w:pos="1132"/>
        </w:tabs>
        <w:autoSpaceDN w:val="0"/>
        <w:spacing w:after="0" w:line="240" w:lineRule="auto"/>
        <w:jc w:val="both"/>
        <w:textAlignment w:val="baseline"/>
        <w:rPr>
          <w:rFonts w:eastAsia="Calibri" w:cstheme="minorHAnsi"/>
          <w:snapToGrid w:val="0"/>
          <w:color w:val="000000"/>
        </w:rPr>
      </w:pPr>
      <w:r w:rsidRPr="00F25B58">
        <w:rPr>
          <w:rFonts w:eastAsia="Calibri" w:cstheme="minorHAnsi"/>
          <w:snapToGrid w:val="0"/>
          <w:color w:val="000000"/>
        </w:rPr>
        <w:t xml:space="preserve">De acuerdo con lo dispuesto en el numeral 8º del artículo 2.2.1.1.2.1.3 del Decreto 1082 de 2015, el análisis y la matriz de riesgos asociados al contrato que se celebre como resultado del presente proceso de selección, así como la forma de mitigarlos y la asignación del riesgo entre las partes contratantes, se encuentran descritos en el Anexo No </w:t>
      </w:r>
      <w:r w:rsidR="00AC5F48" w:rsidRPr="00F25B58">
        <w:rPr>
          <w:rFonts w:eastAsia="Calibri" w:cstheme="minorHAnsi"/>
          <w:snapToGrid w:val="0"/>
          <w:color w:val="000000"/>
        </w:rPr>
        <w:t>12</w:t>
      </w:r>
      <w:r w:rsidRPr="00F25B58">
        <w:rPr>
          <w:rFonts w:eastAsia="Calibri" w:cstheme="minorHAnsi"/>
          <w:snapToGrid w:val="0"/>
          <w:color w:val="000000"/>
        </w:rPr>
        <w:t xml:space="preserve"> denominado “MATRIZ DE RIESGOS” que forma parte integral del presente documento.</w:t>
      </w:r>
    </w:p>
    <w:p w14:paraId="0AEE017D" w14:textId="1C258300" w:rsidR="007912F7" w:rsidRPr="00F25B58" w:rsidRDefault="007912F7" w:rsidP="006A7C0C">
      <w:pPr>
        <w:tabs>
          <w:tab w:val="left" w:pos="709"/>
          <w:tab w:val="left" w:pos="1132"/>
        </w:tabs>
        <w:autoSpaceDN w:val="0"/>
        <w:spacing w:after="0" w:line="240" w:lineRule="auto"/>
        <w:jc w:val="both"/>
        <w:textAlignment w:val="baseline"/>
        <w:rPr>
          <w:rFonts w:eastAsia="Calibri" w:cstheme="minorHAnsi"/>
          <w:color w:val="000000"/>
          <w:kern w:val="3"/>
          <w:lang w:val="es-ES" w:eastAsia="zh-CN"/>
        </w:rPr>
      </w:pPr>
    </w:p>
    <w:p w14:paraId="67BBD1E1" w14:textId="77777777" w:rsidR="007912F7" w:rsidRPr="00F25B58" w:rsidRDefault="007912F7" w:rsidP="00370EF1">
      <w:pPr>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Adicionalmente, es menester poner de presente el siguiente análisis para precisar la exposición de la entidad al RIESGO DE DESEQUILIBRIO ECONÓMICO:</w:t>
      </w:r>
    </w:p>
    <w:p w14:paraId="2B6F8ACB" w14:textId="75501046" w:rsidR="007912F7" w:rsidRDefault="007912F7" w:rsidP="00370EF1">
      <w:pPr>
        <w:autoSpaceDN w:val="0"/>
        <w:spacing w:after="0" w:line="240" w:lineRule="auto"/>
        <w:jc w:val="both"/>
        <w:textAlignment w:val="baseline"/>
        <w:rPr>
          <w:rFonts w:eastAsia="Calibri" w:cstheme="minorHAnsi"/>
          <w:color w:val="000000"/>
          <w:kern w:val="3"/>
          <w:lang w:val="es-ES" w:eastAsia="zh-CN"/>
        </w:rPr>
      </w:pPr>
    </w:p>
    <w:p w14:paraId="712C505B" w14:textId="2AFCC429" w:rsidR="007912F7" w:rsidRPr="00F25B58" w:rsidRDefault="007912F7" w:rsidP="00370EF1">
      <w:pPr>
        <w:pStyle w:val="Prrafodelista"/>
        <w:numPr>
          <w:ilvl w:val="1"/>
          <w:numId w:val="1"/>
        </w:numPr>
        <w:suppressAutoHyphens/>
        <w:autoSpaceDE w:val="0"/>
        <w:autoSpaceDN w:val="0"/>
        <w:spacing w:after="0" w:line="240" w:lineRule="auto"/>
        <w:jc w:val="both"/>
        <w:textAlignment w:val="baseline"/>
        <w:rPr>
          <w:rFonts w:eastAsia="Calibri" w:cstheme="minorHAnsi"/>
          <w:b/>
          <w:bCs/>
          <w:color w:val="000000"/>
          <w:kern w:val="3"/>
          <w:lang w:val="es-ES" w:eastAsia="zh-CN"/>
        </w:rPr>
      </w:pPr>
      <w:r w:rsidRPr="00F25B58">
        <w:rPr>
          <w:rFonts w:eastAsia="Calibri" w:cstheme="minorHAnsi"/>
          <w:b/>
          <w:bCs/>
          <w:color w:val="000000"/>
          <w:kern w:val="3"/>
          <w:lang w:val="es-ES" w:eastAsia="zh-CN"/>
        </w:rPr>
        <w:t>RIESGO DE DESEQUILIBRIO ECONÓMICO</w:t>
      </w:r>
    </w:p>
    <w:p w14:paraId="4C139F41"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27D1658B"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Se define este riesgo como aquel que resulta de la ruptura del equilibrio económico del contrato como consecuencia de que por circunstancias imprevisibles y ajenas a la voluntad de las partes aquel resulte más gravoso para el contratista.</w:t>
      </w:r>
    </w:p>
    <w:p w14:paraId="273152AD"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2A3D6DC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Este riesgo no resulta aplicable al contrato de seguros habida cuenta que una de sus características esenciales es la aleatoriedad (contingencia de ganancia o pérdida sujeta al azar). De igual forma por disposición del artículo 13 de la ley 80 de 1993, norma vigente, a los contratos de seguros que deriven de la adjudicación de procesos de selección, les son aplicables los principios y normas que gobiernan el contrato de seguros establecidos en el artículo 1036 y s.s. del Código de Comercio, entre cuyas normas se destaca el artículo 1071 al tenor del cual, las aseguradoras pueden revocar unilateralmente los seguros suscritos, usualmente en eventos en que la siniestralidad desborde sus presupuestos o expectativas, y  con el propósito de evitar que las entidades queden sin cobertura, en el evento de que la(s) aseguradora(s) decida (n) revocar el contrato de seguros, se ha incorporado a favor de las Entidades la posibilidad de que esta revocación se realice en un término mayor a los 10 días, previsto en la norma general, y de esta forma, se pueda desarrollar adecuadamente un nuevo proceso de selección de aseguradoras (con ajustes económicos y de condiciones).</w:t>
      </w:r>
    </w:p>
    <w:p w14:paraId="11A8FDE1"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1B205604"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Con respecto a la aleatoriedad del contrato de seguros la jurisprudencia se ha pronunciado el H. Consejo de Estado – Sala de Consulta y Servicio Civil Rad. 1011 de 1997 así:</w:t>
      </w:r>
    </w:p>
    <w:p w14:paraId="4290908C"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F06346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 xml:space="preserve">“… </w:t>
      </w:r>
      <w:r w:rsidRPr="00F25B58">
        <w:rPr>
          <w:rFonts w:eastAsia="Calibri" w:cstheme="minorHAnsi"/>
          <w:i/>
          <w:color w:val="000000"/>
          <w:kern w:val="3"/>
          <w:lang w:val="es-ES" w:eastAsia="zh-CN"/>
        </w:rPr>
        <w:t>El seguro es contrato aleatorio En los contratos aleatorios la prestación a cargo de uno de los contratantes no guarda relación con la del otro, desde el punto de vista de su equivalencia, por estar sometida esa prestación a la ocurrencia incierta de un hecho futuro que, de llegar a presentarse, evidenciaría notoria desproporción. En el caso del seguro, existe la incertidumbre respecto a si el asegurador tendrá o no que afrontar el pago de una indemnización y cuál ha de ser la cuantía de ella</w:t>
      </w:r>
      <w:r w:rsidRPr="00F25B58">
        <w:rPr>
          <w:rFonts w:eastAsia="Calibri" w:cstheme="minorHAnsi"/>
          <w:color w:val="000000"/>
          <w:kern w:val="3"/>
          <w:lang w:val="es-ES" w:eastAsia="zh-CN"/>
        </w:rPr>
        <w:t>.</w:t>
      </w:r>
    </w:p>
    <w:p w14:paraId="6C165D8A"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310F6175" w14:textId="77777777" w:rsidR="007912F7" w:rsidRPr="00F25B58" w:rsidRDefault="007912F7" w:rsidP="00370EF1">
      <w:pPr>
        <w:autoSpaceDE w:val="0"/>
        <w:autoSpaceDN w:val="0"/>
        <w:spacing w:after="0" w:line="240" w:lineRule="auto"/>
        <w:ind w:left="709"/>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 El contrato de seguro es de ejecución sucesiva</w:t>
      </w:r>
    </w:p>
    <w:p w14:paraId="361A95C1" w14:textId="77777777" w:rsidR="007912F7" w:rsidRPr="00F25B58" w:rsidRDefault="007912F7" w:rsidP="00370EF1">
      <w:pPr>
        <w:autoSpaceDE w:val="0"/>
        <w:autoSpaceDN w:val="0"/>
        <w:spacing w:after="0" w:line="240" w:lineRule="auto"/>
        <w:ind w:left="709"/>
        <w:jc w:val="both"/>
        <w:textAlignment w:val="baseline"/>
        <w:rPr>
          <w:rFonts w:eastAsia="Calibri" w:cstheme="minorHAnsi"/>
          <w:color w:val="000000"/>
          <w:kern w:val="3"/>
          <w:lang w:val="es-ES" w:eastAsia="zh-CN"/>
        </w:rPr>
      </w:pPr>
    </w:p>
    <w:p w14:paraId="34EFD532"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Durante la vigencia del contrato persisten, de manera especial, una serie de obligaciones en cabeza del tomador o asegurado, pues mientras esté vigente subsisten diversas cargas como las de mantener el estado de riesgo, comunicar circunstancias que impliquen su agravación, observar estrictamente las garantías dadas, etc. En suma, las obligaciones de las partes no se agotan cuando se suscribe el contrato, sino que apenas se inician. Elementos esenciales del contrato de seguro…</w:t>
      </w:r>
      <w:r w:rsidRPr="00F25B58">
        <w:rPr>
          <w:rFonts w:eastAsia="Calibri" w:cstheme="minorHAnsi"/>
          <w:color w:val="000000"/>
          <w:kern w:val="3"/>
          <w:lang w:val="es-ES" w:eastAsia="zh-CN"/>
        </w:rPr>
        <w:t>”</w:t>
      </w:r>
    </w:p>
    <w:p w14:paraId="6FD2AEF6"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008EFE5E"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ab/>
        <w:t>(…)</w:t>
      </w:r>
    </w:p>
    <w:p w14:paraId="08C11E50"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73B4A57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w:t>
      </w:r>
      <w:r w:rsidRPr="00F25B58">
        <w:rPr>
          <w:rFonts w:eastAsia="Calibri" w:cstheme="minorHAnsi"/>
          <w:i/>
          <w:color w:val="000000"/>
          <w:kern w:val="3"/>
          <w:lang w:val="es-ES" w:eastAsia="zh-CN"/>
        </w:rPr>
        <w:t>… CONTRATO DE SEGURO - Inaplicación del equilibrio de la ejecución contractual.</w:t>
      </w:r>
    </w:p>
    <w:p w14:paraId="743C0F9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3F2E2DBB"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Al contrato de seguro no le es aplicable el inciso segundo del numeral 1º del artículo 5º de la ley 80 de 1993, en lo que se refiere al reconocimiento del equilibrio de la ecuación económica del contrato por la ocurrencia de situaciones imprevistas no imputables al contratista. Ello por cuanto la teoría de la imprevisión no rige para los contratos aleatorios, como lo es el de seguro, por la naturaleza misma de éste y por expresa disposición del último inciso del artículo 868 del Código de Comercio. Nota de Relatoría:</w:t>
      </w:r>
    </w:p>
    <w:p w14:paraId="699D22BE"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4C4ABB9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Autorizada la publicación con oficio de la fecha el 2 de septiembre de 1997.</w:t>
      </w:r>
    </w:p>
    <w:p w14:paraId="6A0CB27A"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0427EBDC"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Improcedencia en contratos aleatorios</w:t>
      </w:r>
    </w:p>
    <w:p w14:paraId="0A8FFBDD"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50BE15D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La característica aleatoria del contrato de seguro está dada por la variedad de hechos que constituyen riesgos y que pueden ser objeto de la cobertura de los contratos de seguros, siendo inciertos, eventuales, contingentes, posibles, no eliminables por la prevención y de consecuencias nocivas para las personas, los bienes o las actividades económicas. La doctrina ha fijado tres requisitos para que exista la imprevisión en los contratos sinalagmáticos: "</w:t>
      </w:r>
      <w:r w:rsidRPr="00F25B58">
        <w:rPr>
          <w:rFonts w:eastAsia="Calibri" w:cstheme="minorHAnsi"/>
          <w:b/>
          <w:bCs/>
          <w:i/>
          <w:color w:val="000000"/>
          <w:kern w:val="3"/>
          <w:lang w:val="es-ES" w:eastAsia="zh-CN"/>
        </w:rPr>
        <w:t xml:space="preserve">a) </w:t>
      </w:r>
      <w:r w:rsidRPr="00F25B58">
        <w:rPr>
          <w:rFonts w:eastAsia="Calibri" w:cstheme="minorHAnsi"/>
          <w:i/>
          <w:color w:val="000000"/>
          <w:kern w:val="3"/>
          <w:lang w:val="es-ES" w:eastAsia="zh-CN"/>
        </w:rPr>
        <w:t xml:space="preserve">que se trate de ejecución sucesiva, ejecución continuada a término; </w:t>
      </w:r>
      <w:r w:rsidRPr="00F25B58">
        <w:rPr>
          <w:rFonts w:eastAsia="Calibri" w:cstheme="minorHAnsi"/>
          <w:b/>
          <w:bCs/>
          <w:i/>
          <w:color w:val="000000"/>
          <w:kern w:val="3"/>
          <w:lang w:val="es-ES" w:eastAsia="zh-CN"/>
        </w:rPr>
        <w:t xml:space="preserve">b) </w:t>
      </w:r>
      <w:r w:rsidRPr="00F25B58">
        <w:rPr>
          <w:rFonts w:eastAsia="Calibri" w:cstheme="minorHAnsi"/>
          <w:i/>
          <w:color w:val="000000"/>
          <w:kern w:val="3"/>
          <w:lang w:val="es-ES" w:eastAsia="zh-CN"/>
        </w:rPr>
        <w:t xml:space="preserve">que con posterioridad a la celebración del contrato se realice un acontecimiento imprevisto, es decir, que racionalmente no lo hayan previsto los contratantes; y ello porque otra cosa sucede cuando las prestaciones carecen de equivalencia en el momento del contrato y las partes han previsto acontecimientos por los cuales una de las prestaciones puede resultar excesivamente onerosa, por ejemplo, en la constitución de un usufructo vitalicio o de una renta vitalicia, los años que superviva el usufructuario o el acreedor de la renta. Por lo tanto, no puede hablarse de imprevisión cuando el acontecimiento del cual depende la excesiva onerosidad "entra del alea normal del contrato". </w:t>
      </w:r>
      <w:r w:rsidRPr="00F25B58">
        <w:rPr>
          <w:rFonts w:eastAsia="Calibri" w:cstheme="minorHAnsi"/>
          <w:b/>
          <w:bCs/>
          <w:i/>
          <w:color w:val="000000"/>
          <w:kern w:val="3"/>
          <w:lang w:val="es-ES" w:eastAsia="zh-CN"/>
        </w:rPr>
        <w:t xml:space="preserve">c) </w:t>
      </w:r>
      <w:r w:rsidRPr="00F25B58">
        <w:rPr>
          <w:rFonts w:eastAsia="Calibri" w:cstheme="minorHAnsi"/>
          <w:i/>
          <w:color w:val="000000"/>
          <w:kern w:val="3"/>
          <w:lang w:val="es-ES" w:eastAsia="zh-CN"/>
        </w:rPr>
        <w:t>Que el acontecimiento imprevisto produzca un notable desequilibrio entre las prestaciones, de manera que el contrato que fue previsto sinalagmático, cese de serlo". Como se advierte, la teoría de la imprevisión no encuentra aplicación en el caso de los contratos aleatorios, por la naturaleza misma de estos, en donde el carácter de imprevisibilidad marca la prestación de una de las partes y se constituye en elemento distintivo del contrato. Nota de Relatoría: Autorizada la publicación con oficio de la fecha el 2 de septiembre de 1997.</w:t>
      </w:r>
    </w:p>
    <w:p w14:paraId="2757C62C"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6D5A5841"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w:t>
      </w:r>
    </w:p>
    <w:p w14:paraId="3DF8A06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062DC9AA"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r w:rsidRPr="00F25B58">
        <w:rPr>
          <w:rFonts w:eastAsia="Calibri" w:cstheme="minorHAnsi"/>
          <w:i/>
          <w:color w:val="000000"/>
          <w:kern w:val="3"/>
          <w:lang w:val="es-ES" w:eastAsia="zh-CN"/>
        </w:rPr>
        <w:t xml:space="preserve">La ley 80 confiere a las partes del contrato estatal la facultad de restablecer, mediante el reconocimiento de gastos adicionales, costos financieros o intereses, el equilibrio contractual que se haya roto "por causas no imputables a quien resulte afectado". El artículo 25 de la ley señala así las causas de manera general; sin embargo, algunas normas complementarias de la misma ley 80 se refieren a la imprevisibilidad que deben revestir tales causas que alteran el contrato con posterioridad a su celebración. En cuanto se refiere a los contratistas, la ley 80 de 1993 les otorga concretamente el derecho de solicitar el restablecimiento del contrato que se haya alterado por cualquiera de estas dos hipótesis: hechos imprevistos no imputables a ellos o incumplimiento de la entidad estatal. Otras hipótesis que consagra la ley 80 de 1993 de restablecimiento de la ecuación inicial del contrato, consisten en los casos de interpretación y modificación unilaterales que desequilibren las prestaciones de las partes. La ley 80 de 1993 al hablar de situaciones imprevistas que afectan el equilibrio económico del contrato y de la necesidad de restablecerlo por parte de la administración, consagró en realidad, en materia de contratos estatales, la teoría de la imprevisión. 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w:t>
      </w:r>
      <w:r w:rsidRPr="00F25B58">
        <w:rPr>
          <w:rFonts w:eastAsia="Calibri" w:cstheme="minorHAnsi"/>
          <w:i/>
          <w:color w:val="000000"/>
          <w:kern w:val="3"/>
          <w:lang w:val="es-ES" w:eastAsia="zh-CN"/>
        </w:rPr>
        <w:lastRenderedPageBreak/>
        <w:t>a la revisión de precios. El mantenimiento de la ecuación contractual es virtud de la aplicación de la teoría de la imprevisión, que consagra como una de las dos hipótesis del inciso segundo del numeral 1º del artículo 5º de la ley 80 de 1993, se debe producir únicamente respecto de los contratos que por su naturaleza admitan la aplicación de dicha teoría. En otras palabras, en aquellos contratos en que, por sus mismas características no sea pertinente la teoría de la imprevisión, no es procedente entrar a aplicar el restablecimiento del equilibrio contractual, por falta de causa para tomar esta medida. Esto sucede en casos de contratos de ejecución instantánea y los contratos aleatorios, en los cuales la misma ley excluye la aplicación de la teoría de la imprevisión, como en efecto lo dispone el último inciso del artículo 868 del Código de Comercio. Los contratos aleatorios, por la contingencia que comportan, no presentan equivalencia de las obligaciones, de manera que no se da en ellos la figura del equilibrio de la ecuación contractual, concebida por la ley 80 de 1993 como "la igualdad o equivalencia entre derechos y obligaciones surgidos al momento de proponer o de contratar", según el caso. Por ende, no se da tampoco en ellos la medida de restablecimiento de dicho equilibrio por aplicación de la teoría de la imprevisión, máxime cuando ésta se encuentra excluida por la ley mercantil respecto de este tipo de contratos…”</w:t>
      </w:r>
    </w:p>
    <w:p w14:paraId="259E2E1D" w14:textId="77777777" w:rsidR="007912F7" w:rsidRPr="00F25B58" w:rsidRDefault="007912F7" w:rsidP="00370EF1">
      <w:pPr>
        <w:autoSpaceDE w:val="0"/>
        <w:autoSpaceDN w:val="0"/>
        <w:spacing w:after="0" w:line="240" w:lineRule="auto"/>
        <w:ind w:right="567"/>
        <w:jc w:val="both"/>
        <w:textAlignment w:val="baseline"/>
        <w:rPr>
          <w:rFonts w:eastAsia="Calibri" w:cstheme="minorHAnsi"/>
          <w:color w:val="000000"/>
          <w:kern w:val="3"/>
          <w:lang w:val="es-ES" w:eastAsia="zh-CN"/>
        </w:rPr>
      </w:pPr>
    </w:p>
    <w:p w14:paraId="405BE095" w14:textId="77777777" w:rsidR="007912F7" w:rsidRPr="00F25B58" w:rsidRDefault="007912F7" w:rsidP="00370EF1">
      <w:pPr>
        <w:autoSpaceDE w:val="0"/>
        <w:autoSpaceDN w:val="0"/>
        <w:spacing w:after="0" w:line="240" w:lineRule="auto"/>
        <w:ind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De igual manera algunas entidades públicas han elevado consulta al Consejo de Estado, a fin de aclarar la aplicabilidad del inciso 2º del numeral 1º del artículo 5 de la ley 80 de 1993 al contrato de seguros, cuya respuesta ha sido:</w:t>
      </w:r>
    </w:p>
    <w:p w14:paraId="1FC38A00"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p>
    <w:p w14:paraId="2B91DB9F"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w:t>
      </w:r>
      <w:r w:rsidRPr="00F25B58">
        <w:rPr>
          <w:rFonts w:eastAsia="Calibri" w:cstheme="minorHAnsi"/>
          <w:i/>
          <w:color w:val="000000"/>
          <w:kern w:val="3"/>
          <w:lang w:val="es-ES" w:eastAsia="zh-CN"/>
        </w:rPr>
        <w:t>2. LA SALA RESPONDE:</w:t>
      </w:r>
    </w:p>
    <w:p w14:paraId="15A33064"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i/>
          <w:color w:val="000000"/>
          <w:kern w:val="3"/>
          <w:lang w:val="es-ES" w:eastAsia="zh-CN"/>
        </w:rPr>
      </w:pPr>
    </w:p>
    <w:p w14:paraId="308426B3" w14:textId="77777777" w:rsidR="007912F7" w:rsidRPr="00F25B58" w:rsidRDefault="007912F7" w:rsidP="00370EF1">
      <w:pPr>
        <w:autoSpaceDE w:val="0"/>
        <w:autoSpaceDN w:val="0"/>
        <w:spacing w:after="0" w:line="240" w:lineRule="auto"/>
        <w:ind w:left="709" w:right="567"/>
        <w:jc w:val="both"/>
        <w:textAlignment w:val="baseline"/>
        <w:rPr>
          <w:rFonts w:eastAsia="Calibri" w:cstheme="minorHAnsi"/>
          <w:color w:val="000000"/>
          <w:kern w:val="3"/>
          <w:lang w:val="es-ES" w:eastAsia="zh-CN"/>
        </w:rPr>
      </w:pPr>
      <w:r w:rsidRPr="00F25B58">
        <w:rPr>
          <w:rFonts w:eastAsia="Calibri" w:cstheme="minorHAnsi"/>
          <w:i/>
          <w:color w:val="000000"/>
          <w:kern w:val="3"/>
          <w:lang w:val="es-ES" w:eastAsia="zh-CN"/>
        </w:rPr>
        <w:t xml:space="preserve">Al contrato de seguro no le es aplicable el inciso segundo del numeral 1º del artículo 5º de la ley 80 de 1993, en lo que se refiere al reconocimiento del equilibrio de la ecuación económica del contrato por la ocurrencia de situaciones imprevistas no imputables al contratista. Ello por cuanto la teoría de la imprevisión no rige para los contratos aleatorios, como lo es el de seguro, por la naturaleza misma de éste y por expresa disposición del último inciso del artículo 868 del Código de Comercio. CESAR HOYOS SALAZAR - </w:t>
      </w:r>
      <w:proofErr w:type="gramStart"/>
      <w:r w:rsidRPr="00F25B58">
        <w:rPr>
          <w:rFonts w:eastAsia="Calibri" w:cstheme="minorHAnsi"/>
          <w:i/>
          <w:color w:val="000000"/>
          <w:kern w:val="3"/>
          <w:lang w:val="es-ES" w:eastAsia="zh-CN"/>
        </w:rPr>
        <w:t>Presidente</w:t>
      </w:r>
      <w:proofErr w:type="gramEnd"/>
      <w:r w:rsidRPr="00F25B58">
        <w:rPr>
          <w:rFonts w:eastAsia="Calibri" w:cstheme="minorHAnsi"/>
          <w:i/>
          <w:color w:val="000000"/>
          <w:kern w:val="3"/>
          <w:lang w:val="es-ES" w:eastAsia="zh-CN"/>
        </w:rPr>
        <w:t xml:space="preserve"> de la Sala</w:t>
      </w:r>
      <w:r w:rsidRPr="00F25B58">
        <w:rPr>
          <w:rFonts w:eastAsia="Calibri" w:cstheme="minorHAnsi"/>
          <w:color w:val="000000"/>
          <w:kern w:val="3"/>
          <w:lang w:val="es-ES" w:eastAsia="zh-CN"/>
        </w:rPr>
        <w:t>”</w:t>
      </w:r>
    </w:p>
    <w:p w14:paraId="58CD679C"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5B0CA98E" w14:textId="38C0542C"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 xml:space="preserve">Así las cosas, el riesgo se encuentra asignado a las aseguradoras proponentes, quienes lo precaven y mitigan con la posibilidad de una revocación, por lo tanto, no habrá un mecanismo adicional de ajuste y revisión de primas en vigencia de los seguros contratados y como resultado del desequilibrio emanado de la siniestralidad de </w:t>
      </w:r>
      <w:r w:rsidR="0039511B" w:rsidRPr="00F25B58">
        <w:rPr>
          <w:rFonts w:eastAsia="Calibri" w:cstheme="minorHAnsi"/>
          <w:color w:val="000000"/>
          <w:kern w:val="3"/>
          <w:lang w:val="es-ES" w:eastAsia="zh-CN"/>
        </w:rPr>
        <w:t>estos</w:t>
      </w:r>
      <w:r w:rsidRPr="00F25B58">
        <w:rPr>
          <w:rFonts w:eastAsia="Calibri" w:cstheme="minorHAnsi"/>
          <w:color w:val="000000"/>
          <w:kern w:val="3"/>
          <w:lang w:val="es-ES" w:eastAsia="zh-CN"/>
        </w:rPr>
        <w:t>.</w:t>
      </w:r>
    </w:p>
    <w:p w14:paraId="0FD19D48" w14:textId="77777777"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p>
    <w:p w14:paraId="778B8DD2" w14:textId="4569F0CE" w:rsidR="007912F7" w:rsidRPr="00F25B58" w:rsidRDefault="007912F7" w:rsidP="00370EF1">
      <w:pPr>
        <w:autoSpaceDE w:val="0"/>
        <w:autoSpaceDN w:val="0"/>
        <w:spacing w:after="0" w:line="240" w:lineRule="auto"/>
        <w:jc w:val="both"/>
        <w:textAlignment w:val="baseline"/>
        <w:rPr>
          <w:rFonts w:eastAsia="Calibri" w:cstheme="minorHAnsi"/>
          <w:color w:val="000000"/>
          <w:kern w:val="3"/>
          <w:lang w:val="es-ES" w:eastAsia="zh-CN"/>
        </w:rPr>
      </w:pPr>
      <w:r w:rsidRPr="00F25B58">
        <w:rPr>
          <w:rFonts w:eastAsia="Calibri" w:cstheme="minorHAnsi"/>
          <w:color w:val="000000"/>
          <w:kern w:val="3"/>
          <w:lang w:val="es-ES" w:eastAsia="zh-CN"/>
        </w:rPr>
        <w:t>También es relevante hacer un análisis de otros aspectos que pueden afectar la relación contractual y en otros, la relación precontractual.</w:t>
      </w:r>
    </w:p>
    <w:p w14:paraId="521AA3B8" w14:textId="77777777" w:rsidR="0079473A" w:rsidRPr="00F25B58" w:rsidRDefault="0079473A" w:rsidP="00370EF1">
      <w:pPr>
        <w:autoSpaceDE w:val="0"/>
        <w:autoSpaceDN w:val="0"/>
        <w:spacing w:after="0" w:line="240" w:lineRule="auto"/>
        <w:jc w:val="both"/>
        <w:textAlignment w:val="baseline"/>
        <w:rPr>
          <w:rFonts w:eastAsia="Calibri" w:cstheme="minorHAnsi"/>
          <w:color w:val="000000"/>
          <w:kern w:val="3"/>
          <w:lang w:val="es-ES" w:eastAsia="zh-CN"/>
        </w:rPr>
      </w:pPr>
    </w:p>
    <w:p w14:paraId="5A2151C5" w14:textId="77777777" w:rsidR="006A7C0C" w:rsidRDefault="006A7C0C">
      <w:pPr>
        <w:spacing w:after="160" w:line="259" w:lineRule="auto"/>
        <w:rPr>
          <w:rFonts w:cstheme="minorHAnsi"/>
          <w:b/>
          <w:bCs/>
          <w:u w:val="single"/>
        </w:rPr>
      </w:pPr>
      <w:r>
        <w:rPr>
          <w:rFonts w:cstheme="minorHAnsi"/>
          <w:b/>
          <w:bCs/>
          <w:u w:val="single"/>
        </w:rPr>
        <w:br w:type="page"/>
      </w:r>
    </w:p>
    <w:p w14:paraId="55FDDBCB" w14:textId="166C7716" w:rsidR="000B4E71" w:rsidRPr="00F25B58" w:rsidRDefault="000B4E71" w:rsidP="00370EF1">
      <w:pPr>
        <w:numPr>
          <w:ilvl w:val="0"/>
          <w:numId w:val="1"/>
        </w:numPr>
        <w:spacing w:after="0" w:line="240" w:lineRule="auto"/>
        <w:contextualSpacing/>
        <w:jc w:val="both"/>
        <w:rPr>
          <w:rFonts w:cstheme="minorHAnsi"/>
          <w:b/>
          <w:bCs/>
          <w:u w:val="single"/>
        </w:rPr>
      </w:pPr>
      <w:r w:rsidRPr="00F25B58">
        <w:rPr>
          <w:rFonts w:cstheme="minorHAnsi"/>
          <w:b/>
          <w:bCs/>
          <w:u w:val="single"/>
        </w:rPr>
        <w:lastRenderedPageBreak/>
        <w:t>CONCLUSIONES</w:t>
      </w:r>
    </w:p>
    <w:p w14:paraId="14A91391" w14:textId="77777777" w:rsidR="00AD5907" w:rsidRPr="00F25B58" w:rsidRDefault="00AD5907" w:rsidP="00370EF1">
      <w:pPr>
        <w:spacing w:after="0" w:line="240" w:lineRule="auto"/>
        <w:jc w:val="both"/>
        <w:rPr>
          <w:rFonts w:eastAsia="Calibri" w:cstheme="minorHAnsi"/>
          <w:bCs/>
        </w:rPr>
      </w:pPr>
    </w:p>
    <w:p w14:paraId="4AD2CA7F" w14:textId="2EB2ED5A" w:rsidR="00FC1CFA" w:rsidRPr="00FC1CFA" w:rsidRDefault="00FC1CFA" w:rsidP="00FC1CFA">
      <w:pPr>
        <w:spacing w:after="0" w:line="240" w:lineRule="auto"/>
        <w:jc w:val="both"/>
        <w:rPr>
          <w:rFonts w:eastAsia="Calibri" w:cstheme="minorHAnsi"/>
          <w:bCs/>
        </w:rPr>
      </w:pPr>
      <w:r w:rsidRPr="00FC1CFA">
        <w:rPr>
          <w:rFonts w:eastAsia="Calibri" w:cstheme="minorHAnsi"/>
          <w:bCs/>
        </w:rPr>
        <w:t xml:space="preserve">Se prevé participación masiva del mercado asegurador para las pólizas que conforman el programa de seguros generales, teniendo en cuenta que se invitaron a todas las compañías del mercado asegurador que expiden pólizas similares a los seguros a contratar por </w:t>
      </w:r>
      <w:r w:rsidRPr="00457E41">
        <w:rPr>
          <w:rFonts w:eastAsia="ACaslonPro-Regular" w:cstheme="minorHAnsi"/>
          <w:b/>
          <w:bCs/>
        </w:rPr>
        <w:t>Universidad Distrital Francisco José de Caldas</w:t>
      </w:r>
      <w:r w:rsidRPr="00FC1CFA">
        <w:rPr>
          <w:rFonts w:eastAsia="ACaslonPro-Regular" w:cstheme="minorHAnsi"/>
        </w:rPr>
        <w:t>.</w:t>
      </w:r>
    </w:p>
    <w:p w14:paraId="13AF3FEF" w14:textId="77777777" w:rsidR="00FC1CFA" w:rsidRPr="00FC1CFA" w:rsidRDefault="00FC1CFA" w:rsidP="00FC1CFA">
      <w:pPr>
        <w:spacing w:after="0" w:line="240" w:lineRule="auto"/>
        <w:jc w:val="both"/>
        <w:rPr>
          <w:rFonts w:eastAsia="Calibri" w:cstheme="minorHAnsi"/>
          <w:bCs/>
        </w:rPr>
      </w:pPr>
    </w:p>
    <w:p w14:paraId="4534667A" w14:textId="4981A175" w:rsidR="00FC1CFA" w:rsidRPr="00FC1CFA" w:rsidRDefault="00FC1CFA" w:rsidP="00FC1CFA">
      <w:pPr>
        <w:spacing w:after="0" w:line="240" w:lineRule="auto"/>
        <w:jc w:val="both"/>
        <w:rPr>
          <w:rFonts w:eastAsia="Calibri" w:cstheme="minorHAnsi"/>
          <w:bCs/>
        </w:rPr>
      </w:pPr>
      <w:r w:rsidRPr="00FC1CFA">
        <w:rPr>
          <w:rFonts w:eastAsia="Calibri" w:cstheme="minorHAnsi"/>
          <w:bCs/>
        </w:rPr>
        <w:t>De acuerdo con análisis llevado a cabo por nuestro corredor de seguros AON RISK SERVICES COLOMBIA S.A., el último trimestre de 2022</w:t>
      </w:r>
      <w:r w:rsidR="0073162A">
        <w:rPr>
          <w:rFonts w:eastAsia="Calibri" w:cstheme="minorHAnsi"/>
          <w:bCs/>
        </w:rPr>
        <w:t xml:space="preserve"> e inicios del 2023 </w:t>
      </w:r>
      <w:r w:rsidRPr="00FC1CFA">
        <w:rPr>
          <w:rFonts w:eastAsia="Calibri" w:cstheme="minorHAnsi"/>
          <w:bCs/>
        </w:rPr>
        <w:t>ha estado marcado por un aumento de la volatilidad geopolítica y económica impulsada por el impacto de la guerra en Ucrania. El aumento de los precios de las materias primas ha alimentado la presión inflacionaria, una disminución de la demanda ha frenado el comercio mundial y las cadenas de suministro mundiales han experimentado nuevas interrupciones. Los numerosos impactos relacionados con los acontecimientos geopolíticos que se desarrollan en Europa del Este son profundos y se espera que continúen.</w:t>
      </w:r>
    </w:p>
    <w:p w14:paraId="064C2812" w14:textId="77777777" w:rsidR="00FC1CFA" w:rsidRPr="00FC1CFA" w:rsidRDefault="00FC1CFA" w:rsidP="00FC1CFA">
      <w:pPr>
        <w:spacing w:after="0" w:line="240" w:lineRule="auto"/>
        <w:jc w:val="both"/>
        <w:rPr>
          <w:rFonts w:eastAsia="Calibri" w:cstheme="minorHAnsi"/>
          <w:bCs/>
        </w:rPr>
      </w:pPr>
    </w:p>
    <w:p w14:paraId="32A9F489" w14:textId="77777777" w:rsidR="00FC1CFA" w:rsidRPr="00FC1CFA" w:rsidRDefault="00FC1CFA" w:rsidP="00FC1CFA">
      <w:pPr>
        <w:spacing w:after="0" w:line="240" w:lineRule="auto"/>
        <w:jc w:val="both"/>
        <w:rPr>
          <w:rFonts w:eastAsia="Calibri" w:cstheme="minorHAnsi"/>
          <w:bCs/>
        </w:rPr>
      </w:pPr>
      <w:r w:rsidRPr="00FC1CFA">
        <w:rPr>
          <w:rFonts w:eastAsia="Calibri" w:cstheme="minorHAnsi"/>
          <w:bCs/>
        </w:rPr>
        <w:t>Adicionalmente, y ante los procesos adelantados por la Contraloría que afectaron vigencias consecutivas de pólizas de seguro de Infidelidad y Riesgos Financieros y Responsabilidad Civil Servidores públicos, en procesos de entidades de estado en llamamiento en garantía a aseguradoras locales, existen limitaciones y restricciones por parte del mercado asegurador en Colombia y Reasegurador a nivel Mundial, para presentar términos y condiciones de cobertura por el alto índice siniestral, para estas pólizas.</w:t>
      </w:r>
    </w:p>
    <w:p w14:paraId="3D16F5E0" w14:textId="77777777" w:rsidR="00FC1CFA" w:rsidRPr="00FC1CFA" w:rsidRDefault="00FC1CFA" w:rsidP="00FC1CFA">
      <w:pPr>
        <w:spacing w:after="0" w:line="240" w:lineRule="auto"/>
        <w:jc w:val="both"/>
        <w:rPr>
          <w:rFonts w:eastAsia="Calibri" w:cstheme="minorHAnsi"/>
          <w:bCs/>
        </w:rPr>
      </w:pPr>
    </w:p>
    <w:p w14:paraId="34E35E81" w14:textId="77777777" w:rsidR="00FC1CFA" w:rsidRPr="00FC1CFA" w:rsidRDefault="00FC1CFA" w:rsidP="00FC1CFA">
      <w:pPr>
        <w:spacing w:after="0" w:line="240" w:lineRule="auto"/>
        <w:jc w:val="both"/>
        <w:rPr>
          <w:rFonts w:eastAsia="Calibri" w:cstheme="minorHAnsi"/>
          <w:bCs/>
        </w:rPr>
      </w:pPr>
      <w:r w:rsidRPr="00FC1CFA">
        <w:rPr>
          <w:rFonts w:eastAsia="Calibri" w:cstheme="minorHAnsi"/>
          <w:bCs/>
        </w:rPr>
        <w:t>Así mismo se prevé que las aseguradoras soliciten la eliminación de la minuta del contrato, por considerar que el contrato de seguros configurado por la póliza suscrita para cada ramo a contratar, cumple con el requisito del contrato escrito determinado por la Ley 80 de 1993.</w:t>
      </w:r>
    </w:p>
    <w:p w14:paraId="11AD4352" w14:textId="77777777" w:rsidR="00FC1CFA" w:rsidRPr="00FC1CFA" w:rsidRDefault="00FC1CFA" w:rsidP="00FC1CFA">
      <w:pPr>
        <w:spacing w:after="0" w:line="240" w:lineRule="auto"/>
        <w:jc w:val="both"/>
        <w:rPr>
          <w:rFonts w:eastAsia="Calibri" w:cstheme="minorHAnsi"/>
          <w:bCs/>
        </w:rPr>
      </w:pPr>
    </w:p>
    <w:p w14:paraId="20976360" w14:textId="3EFC6D11" w:rsidR="00E84789" w:rsidRPr="004603A1" w:rsidRDefault="00FC1CFA" w:rsidP="00FC1CFA">
      <w:pPr>
        <w:spacing w:after="0" w:line="240" w:lineRule="auto"/>
        <w:jc w:val="both"/>
        <w:rPr>
          <w:rFonts w:eastAsia="Arial Narrow" w:cstheme="minorHAnsi"/>
          <w:b/>
          <w:lang w:val="es-ES" w:eastAsia="ar-SA"/>
        </w:rPr>
      </w:pPr>
      <w:r w:rsidRPr="00FC1CFA">
        <w:rPr>
          <w:rFonts w:eastAsia="Calibri" w:cstheme="minorHAnsi"/>
          <w:bCs/>
        </w:rPr>
        <w:t>Por lo anterior, el mercado asegurador y reasegurador estima un incremento en los costos de sus tarifas para los seguros de Todo Riesgo Daño Material, Infidelidad y riesgos Financieros y Responsabilidad Civil Servidores Públicos.</w:t>
      </w:r>
    </w:p>
    <w:sectPr w:rsidR="00E84789" w:rsidRPr="004603A1" w:rsidSect="00F33A89">
      <w:headerReference w:type="default" r:id="rId35"/>
      <w:footerReference w:type="default" r:id="rId36"/>
      <w:pgSz w:w="11906" w:h="16838"/>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6E1E" w14:textId="77777777" w:rsidR="0009007C" w:rsidRDefault="0009007C" w:rsidP="003A24EF">
      <w:pPr>
        <w:spacing w:after="0" w:line="240" w:lineRule="auto"/>
      </w:pPr>
      <w:r>
        <w:separator/>
      </w:r>
    </w:p>
  </w:endnote>
  <w:endnote w:type="continuationSeparator" w:id="0">
    <w:p w14:paraId="70656ADE" w14:textId="77777777" w:rsidR="0009007C" w:rsidRDefault="0009007C" w:rsidP="003A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CaslonPro-Regular">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B5A3" w14:textId="0A8FAE80" w:rsidR="009F1FBB" w:rsidRDefault="009F1FBB" w:rsidP="00330BC7">
    <w:pPr>
      <w:pStyle w:val="Piedepgina"/>
      <w:rPr>
        <w:rFonts w:ascii="Arial Narrow" w:hAnsi="Arial Narrow"/>
        <w:sz w:val="20"/>
        <w:szCs w:val="20"/>
      </w:rPr>
    </w:pPr>
    <w:r>
      <w:rPr>
        <w:b/>
        <w:bCs/>
        <w:i/>
        <w:iCs/>
        <w:noProof/>
      </w:rPr>
      <mc:AlternateContent>
        <mc:Choice Requires="wps">
          <w:drawing>
            <wp:anchor distT="0" distB="0" distL="114300" distR="114300" simplePos="0" relativeHeight="251661312" behindDoc="0" locked="0" layoutInCell="1" allowOverlap="1" wp14:anchorId="367F1461" wp14:editId="46DBFDA5">
              <wp:simplePos x="0" y="0"/>
              <wp:positionH relativeFrom="margin">
                <wp:posOffset>-691845</wp:posOffset>
              </wp:positionH>
              <wp:positionV relativeFrom="paragraph">
                <wp:posOffset>99695</wp:posOffset>
              </wp:positionV>
              <wp:extent cx="6839585" cy="17780"/>
              <wp:effectExtent l="0" t="0" r="0" b="0"/>
              <wp:wrapNone/>
              <wp:docPr id="2" name="Rectángulo 2"/>
              <wp:cNvGraphicFramePr/>
              <a:graphic xmlns:a="http://schemas.openxmlformats.org/drawingml/2006/main">
                <a:graphicData uri="http://schemas.microsoft.com/office/word/2010/wordprocessingShape">
                  <wps:wsp>
                    <wps:cNvSpPr/>
                    <wps:spPr>
                      <a:xfrm>
                        <a:off x="0" y="0"/>
                        <a:ext cx="6839585" cy="1778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74C" id="Rectángulo 2" o:spid="_x0000_s1026" style="position:absolute;margin-left:-54.5pt;margin-top:7.85pt;width:538.55pt;height: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sNjwIAAJwFAAAOAAAAZHJzL2Uyb0RvYy54bWysVE1v2zAMvQ/YfxB0Xx1nSZsGdYqgRYcB&#10;XRusHXpWZakWIImapMTJfv0o2XGyrtthWA6OxI9H8lHkxeXWaLIRPiiwFS1PRpQIy6FW9qWi3x5v&#10;PswoCZHZmmmwoqI7Eejl4v27i9bNxRga0LXwBEFsmLeuok2Mbl4UgTfCsHACTlhUSvCGRbz6l6L2&#10;rEV0o4vxaHRatOBr54GLEFB63SnpIuNLKXi8lzKISHRFMbeYvz5/n9O3WFyw+YtnrlG8T4P9QxaG&#10;KYtBB6hrFhlZe/UblFHcQwAZTziYAqRUXOQasJpy9Kqah4Y5kWtBcoIbaAr/D5bfbR7cyiMNrQvz&#10;gMdUxVZ6k/4xP7LNZO0GssQ2Eo7C09nH8+lsSglHXXl2NstkFgdn50P8JMCQdKiox15kitjmNkQM&#10;iKZ7kxQrgFb1jdI6X1L/xZX2ZMOwc4xzYeMku+u1+QJ1Jz8d4a/rIYqx0514shdjiPySElIO+EsQ&#10;bVMoCylol0+SFAci8inutEh22n4VkqgaSx/nRAbk4xzLTtWwWnTi6R9zyYAJWWL8AbsHeKv+MlWK&#10;JfX2yVXkJz44j/6WWOc8eOTIYOPgbJQF/xaAjkPkzn5PUkdNYukZ6t3KEw/dgAXHbxR2/ZaFuGIe&#10;JwpnD7dEvMeP1NBWFPoTJQ34H2/Jkz0+dNRS0uKEVjR8XzMvKNGfLY7AeTmZpJHOl8n0bIwXf6x5&#10;PtbYtbkCfEol7iPH8zHZR70/Sg/mCZfJMkVFFbMcY1eUR7+/XMVuc+A64mK5zGY4xo7FW/vgeAJP&#10;rKZX/bh9Yt71Tz/izNzBfprZ/NUEdLbJ08JyHUGqPB4HXnu+cQXk/vfrKu2Y43u2OizVxU8AAAD/&#10;/wMAUEsDBBQABgAIAAAAIQCK9S/p4QAAAAoBAAAPAAAAZHJzL2Rvd25yZXYueG1sTI/NTsMwEITv&#10;SLyDtUjcWidFDWmIUxUQEj9SEYUHcONNHDVeR7HbhrdnOcFxZ0az35TryfXihGPoPClI5wkIpNqb&#10;jloFX59PsxxEiJqM7j2hgm8MsK4uL0pdGH+mDzztYiu4hEKhFdgYh0LKUFt0Osz9gMRe40enI59j&#10;K82oz1zuerlIkkw63RF/sHrAB4v1YXd0Cp7rzdtNu3jZ3jf5e3Z43JJtXkmp66tpcwci4hT/wvCL&#10;z+hQMdPeH8kE0SuYpcmKx0R2lrcgOLHK8hTEnoV8CbIq5f8J1Q8AAAD//wMAUEsBAi0AFAAGAAgA&#10;AAAhALaDOJL+AAAA4QEAABMAAAAAAAAAAAAAAAAAAAAAAFtDb250ZW50X1R5cGVzXS54bWxQSwEC&#10;LQAUAAYACAAAACEAOP0h/9YAAACUAQAACwAAAAAAAAAAAAAAAAAvAQAAX3JlbHMvLnJlbHNQSwEC&#10;LQAUAAYACAAAACEA+dvbDY8CAACcBQAADgAAAAAAAAAAAAAAAAAuAgAAZHJzL2Uyb0RvYy54bWxQ&#10;SwECLQAUAAYACAAAACEAivUv6eEAAAAKAQAADwAAAAAAAAAAAAAAAADpBAAAZHJzL2Rvd25yZXYu&#10;eG1sUEsFBgAAAAAEAAQA8wAAAPcFAAAAAA==&#10;" fillcolor="#ffd966 [1943]" stroked="f" strokeweight="1pt">
              <w10:wrap anchorx="margin"/>
            </v:rect>
          </w:pict>
        </mc:Fallback>
      </mc:AlternateContent>
    </w:r>
  </w:p>
  <w:p w14:paraId="656BE7A8" w14:textId="7EC72CB9" w:rsidR="00330BC7" w:rsidRPr="00D00496" w:rsidRDefault="00330BC7" w:rsidP="00330BC7">
    <w:pPr>
      <w:pStyle w:val="Piedepgina"/>
      <w:rPr>
        <w:rFonts w:ascii="Arial Narrow" w:hAnsi="Arial Narrow"/>
        <w:sz w:val="20"/>
        <w:szCs w:val="20"/>
      </w:rPr>
    </w:pPr>
    <w:r w:rsidRPr="00D00496">
      <w:rPr>
        <w:rFonts w:ascii="Arial Narrow" w:hAnsi="Arial Narrow"/>
        <w:sz w:val="20"/>
        <w:szCs w:val="20"/>
      </w:rPr>
      <w:t>Calle 13 # 31 -75</w:t>
    </w:r>
    <w:r w:rsidR="00D00496">
      <w:rPr>
        <w:rFonts w:ascii="Arial Narrow" w:hAnsi="Arial Narrow"/>
        <w:sz w:val="20"/>
        <w:szCs w:val="20"/>
      </w:rPr>
      <w:t xml:space="preserve"> </w:t>
    </w:r>
    <w:r w:rsidRPr="00D00496">
      <w:rPr>
        <w:rFonts w:ascii="Arial Narrow" w:hAnsi="Arial Narrow"/>
        <w:sz w:val="20"/>
        <w:szCs w:val="20"/>
      </w:rPr>
      <w:t>Bogotá D.C. - República de Colombia</w:t>
    </w:r>
  </w:p>
  <w:p w14:paraId="77A30D71" w14:textId="74F16053" w:rsidR="00330BC7" w:rsidRDefault="00330BC7" w:rsidP="00330BC7">
    <w:pPr>
      <w:pStyle w:val="Piedepgina"/>
      <w:rPr>
        <w:rFonts w:ascii="Arial Narrow" w:hAnsi="Arial Narrow"/>
        <w:sz w:val="20"/>
        <w:szCs w:val="20"/>
      </w:rPr>
    </w:pPr>
    <w:r w:rsidRPr="00D00496">
      <w:rPr>
        <w:rFonts w:ascii="Arial Narrow" w:hAnsi="Arial Narrow"/>
        <w:sz w:val="20"/>
        <w:szCs w:val="20"/>
      </w:rPr>
      <w:t xml:space="preserve">Código Postal: 111611 </w:t>
    </w:r>
    <w:r w:rsidR="0095048B">
      <w:rPr>
        <w:rFonts w:ascii="Arial Narrow" w:hAnsi="Arial Narrow"/>
        <w:sz w:val="20"/>
        <w:szCs w:val="20"/>
      </w:rPr>
      <w:t>–</w:t>
    </w:r>
    <w:r w:rsidRPr="00D00496">
      <w:rPr>
        <w:rFonts w:ascii="Arial Narrow" w:hAnsi="Arial Narrow"/>
        <w:sz w:val="20"/>
        <w:szCs w:val="20"/>
      </w:rPr>
      <w:t xml:space="preserve"> 111611537</w:t>
    </w:r>
  </w:p>
  <w:p w14:paraId="3FB73FA9" w14:textId="7F8BF3C2" w:rsidR="0095048B" w:rsidRPr="00D00496" w:rsidRDefault="0095048B" w:rsidP="0095048B">
    <w:pPr>
      <w:pStyle w:val="Piedepgina"/>
      <w:rPr>
        <w:rFonts w:ascii="Arial Narrow" w:hAnsi="Arial Narrow"/>
        <w:sz w:val="20"/>
        <w:szCs w:val="20"/>
      </w:rPr>
    </w:pPr>
    <w:r w:rsidRPr="0095048B">
      <w:rPr>
        <w:rFonts w:ascii="Arial Narrow" w:hAnsi="Arial Narrow"/>
        <w:sz w:val="20"/>
        <w:szCs w:val="20"/>
      </w:rPr>
      <w:t>Atención a usuarios del Centro De Relevo:</w:t>
    </w:r>
    <w:r>
      <w:rPr>
        <w:rFonts w:ascii="Arial Narrow" w:hAnsi="Arial Narrow"/>
        <w:sz w:val="20"/>
        <w:szCs w:val="20"/>
      </w:rPr>
      <w:t xml:space="preserve"> </w:t>
    </w:r>
    <w:r w:rsidRPr="0095048B">
      <w:rPr>
        <w:rFonts w:ascii="Arial Narrow" w:hAnsi="Arial Narrow"/>
        <w:sz w:val="20"/>
        <w:szCs w:val="20"/>
      </w:rPr>
      <w:t>(+57) 6013238314</w:t>
    </w:r>
    <w:r w:rsidR="003A69C0">
      <w:rPr>
        <w:rFonts w:ascii="Arial Narrow" w:hAnsi="Arial Narrow"/>
        <w:sz w:val="20"/>
        <w:szCs w:val="20"/>
      </w:rPr>
      <w:t xml:space="preserve"> -</w:t>
    </w:r>
    <w:r w:rsidRPr="0095048B">
      <w:rPr>
        <w:rFonts w:ascii="Arial Narrow" w:hAnsi="Arial Narrow"/>
        <w:sz w:val="20"/>
        <w:szCs w:val="20"/>
      </w:rPr>
      <w:t xml:space="preserve"> (+57) 6013239300 </w:t>
    </w:r>
    <w:proofErr w:type="spellStart"/>
    <w:r w:rsidRPr="0095048B">
      <w:rPr>
        <w:rFonts w:ascii="Arial Narrow" w:hAnsi="Arial Narrow"/>
        <w:sz w:val="20"/>
        <w:szCs w:val="20"/>
      </w:rPr>
      <w:t>ext</w:t>
    </w:r>
    <w:proofErr w:type="spellEnd"/>
    <w:r w:rsidRPr="0095048B">
      <w:rPr>
        <w:rFonts w:ascii="Arial Narrow" w:hAnsi="Arial Narrow"/>
        <w:sz w:val="20"/>
        <w:szCs w:val="20"/>
      </w:rPr>
      <w:t>: 1421 - (+57) 6013238340</w:t>
    </w:r>
  </w:p>
  <w:p w14:paraId="6700726D" w14:textId="7182149F" w:rsidR="00330BC7" w:rsidRPr="00D00496" w:rsidRDefault="00330BC7" w:rsidP="00330BC7">
    <w:pPr>
      <w:pStyle w:val="Piedepgina"/>
      <w:rPr>
        <w:rFonts w:ascii="Arial Narrow" w:hAnsi="Arial Narrow"/>
        <w:sz w:val="20"/>
        <w:szCs w:val="20"/>
      </w:rPr>
    </w:pPr>
    <w:r w:rsidRPr="00D00496">
      <w:rPr>
        <w:rFonts w:ascii="Arial Narrow" w:hAnsi="Arial Narrow"/>
        <w:sz w:val="20"/>
        <w:szCs w:val="20"/>
      </w:rPr>
      <w:t>Atención al ciudadano: atencion@udistrital.edu.co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524D" w14:textId="77777777" w:rsidR="0009007C" w:rsidRDefault="0009007C" w:rsidP="003A24EF">
      <w:pPr>
        <w:spacing w:after="0" w:line="240" w:lineRule="auto"/>
      </w:pPr>
      <w:r>
        <w:separator/>
      </w:r>
    </w:p>
  </w:footnote>
  <w:footnote w:type="continuationSeparator" w:id="0">
    <w:p w14:paraId="7F772075" w14:textId="77777777" w:rsidR="0009007C" w:rsidRDefault="0009007C" w:rsidP="003A24EF">
      <w:pPr>
        <w:spacing w:after="0" w:line="240" w:lineRule="auto"/>
      </w:pPr>
      <w:r>
        <w:continuationSeparator/>
      </w:r>
    </w:p>
  </w:footnote>
  <w:footnote w:id="1">
    <w:p w14:paraId="19AC77D1" w14:textId="565DA882" w:rsidR="00117B47" w:rsidRDefault="00117B47">
      <w:pPr>
        <w:pStyle w:val="Textonotapie"/>
      </w:pPr>
      <w:r>
        <w:rPr>
          <w:rStyle w:val="Refdenotaalpie"/>
        </w:rPr>
        <w:footnoteRef/>
      </w:r>
      <w:r>
        <w:t xml:space="preserve"> </w:t>
      </w:r>
      <w:r w:rsidR="002C78DC" w:rsidRPr="006D5CBF">
        <w:rPr>
          <w:rFonts w:ascii="Arial Narrow" w:hAnsi="Arial Narrow"/>
          <w:sz w:val="16"/>
          <w:szCs w:val="16"/>
        </w:rPr>
        <w:t xml:space="preserve">Tomado de: </w:t>
      </w:r>
      <w:hyperlink r:id="rId1" w:history="1">
        <w:r w:rsidR="002C78DC" w:rsidRPr="006D5CBF">
          <w:rPr>
            <w:rStyle w:val="Hipervnculo"/>
            <w:rFonts w:ascii="Arial Narrow" w:hAnsi="Arial Narrow"/>
            <w:sz w:val="16"/>
            <w:szCs w:val="16"/>
          </w:rPr>
          <w:t>https://fasecolda.com/fasecolda/nosotros/</w:t>
        </w:r>
      </w:hyperlink>
    </w:p>
  </w:footnote>
  <w:footnote w:id="2">
    <w:p w14:paraId="2B0C0F83" w14:textId="50C2A7B3" w:rsidR="005E79FE" w:rsidRDefault="005E79FE">
      <w:pPr>
        <w:pStyle w:val="Textonotapie"/>
      </w:pPr>
      <w:r>
        <w:rPr>
          <w:rStyle w:val="Refdenotaalpie"/>
        </w:rPr>
        <w:footnoteRef/>
      </w:r>
      <w:r>
        <w:t xml:space="preserve"> </w:t>
      </w:r>
      <w:hyperlink r:id="rId2" w:history="1">
        <w:r w:rsidR="00E83807" w:rsidRPr="001678B5">
          <w:rPr>
            <w:rStyle w:val="Hipervnculo"/>
            <w:rFonts w:ascii="Arial Narrow" w:hAnsi="Arial Narrow"/>
            <w:sz w:val="16"/>
            <w:szCs w:val="16"/>
          </w:rPr>
          <w:t>https://fasecolda.com/fasecolda/estadisticas-del-sector/resumen-ejecutivo/</w:t>
        </w:r>
      </w:hyperlink>
    </w:p>
  </w:footnote>
  <w:footnote w:id="3">
    <w:p w14:paraId="02059076" w14:textId="03EB32D9" w:rsidR="009C4424" w:rsidRDefault="009C4424">
      <w:pPr>
        <w:pStyle w:val="Textonotapie"/>
      </w:pPr>
      <w:r>
        <w:rPr>
          <w:rStyle w:val="Refdenotaalpie"/>
        </w:rPr>
        <w:footnoteRef/>
      </w:r>
      <w:r>
        <w:t xml:space="preserve"> </w:t>
      </w:r>
      <w:hyperlink r:id="rId3" w:history="1">
        <w:r w:rsidR="00725DF9" w:rsidRPr="00617EA1">
          <w:rPr>
            <w:rStyle w:val="Hipervnculo"/>
            <w:rFonts w:ascii="Arial Narrow" w:hAnsi="Arial Narrow"/>
            <w:sz w:val="16"/>
            <w:szCs w:val="16"/>
          </w:rPr>
          <w:t>http://www.fasecolda.com/index.php/fasecolda/estadisticas-del-sector/</w:t>
        </w:r>
      </w:hyperlink>
    </w:p>
  </w:footnote>
  <w:footnote w:id="4">
    <w:p w14:paraId="76358CC4" w14:textId="77777777" w:rsidR="00483BDA" w:rsidRPr="005F0B52" w:rsidRDefault="00483BDA" w:rsidP="00483BDA">
      <w:pPr>
        <w:pStyle w:val="Textonotapie"/>
        <w:rPr>
          <w:rFonts w:ascii="Arial Narrow" w:hAnsi="Arial Narrow"/>
          <w:sz w:val="16"/>
          <w:szCs w:val="16"/>
        </w:rPr>
      </w:pPr>
      <w:r w:rsidRPr="005F0B52">
        <w:rPr>
          <w:rStyle w:val="Refdenotaalpie"/>
          <w:rFonts w:ascii="Arial Narrow" w:hAnsi="Arial Narrow"/>
          <w:sz w:val="16"/>
          <w:szCs w:val="16"/>
        </w:rPr>
        <w:footnoteRef/>
      </w:r>
      <w:r w:rsidRPr="005F0B52">
        <w:rPr>
          <w:rFonts w:ascii="Arial Narrow" w:hAnsi="Arial Narrow"/>
          <w:sz w:val="16"/>
          <w:szCs w:val="16"/>
        </w:rPr>
        <w:t xml:space="preserve"> </w:t>
      </w:r>
      <w:hyperlink r:id="rId4" w:history="1">
        <w:r w:rsidRPr="005F0B52">
          <w:rPr>
            <w:rStyle w:val="Hipervnculo"/>
            <w:rFonts w:ascii="Arial Narrow" w:hAnsi="Arial Narrow"/>
            <w:sz w:val="16"/>
            <w:szCs w:val="16"/>
          </w:rPr>
          <w:t>http://www.fasecolda.com/index.php/fasecolda/estadisticas-del-sector/</w:t>
        </w:r>
      </w:hyperlink>
      <w:r w:rsidRPr="005F0B52">
        <w:rPr>
          <w:rFonts w:ascii="Arial Narrow" w:hAnsi="Arial Narrow"/>
          <w:sz w:val="16"/>
          <w:szCs w:val="16"/>
        </w:rPr>
        <w:t xml:space="preserve"> </w:t>
      </w:r>
    </w:p>
  </w:footnote>
  <w:footnote w:id="5">
    <w:p w14:paraId="7F662D77" w14:textId="77777777" w:rsidR="00483BDA" w:rsidRPr="00D64A36" w:rsidRDefault="00483BDA" w:rsidP="00483BDA">
      <w:pPr>
        <w:pStyle w:val="Textonotapie"/>
        <w:rPr>
          <w:rFonts w:ascii="Arial Narrow" w:hAnsi="Arial Narrow"/>
          <w:sz w:val="16"/>
          <w:szCs w:val="16"/>
        </w:rPr>
      </w:pPr>
      <w:r w:rsidRPr="00D64A36">
        <w:rPr>
          <w:rStyle w:val="Refdenotaalpie"/>
          <w:rFonts w:ascii="Arial Narrow" w:hAnsi="Arial Narrow"/>
          <w:sz w:val="16"/>
          <w:szCs w:val="16"/>
        </w:rPr>
        <w:footnoteRef/>
      </w:r>
      <w:r w:rsidRPr="00D64A36">
        <w:rPr>
          <w:rFonts w:ascii="Arial Narrow" w:hAnsi="Arial Narrow"/>
          <w:sz w:val="16"/>
          <w:szCs w:val="16"/>
        </w:rPr>
        <w:t xml:space="preserve"> </w:t>
      </w:r>
      <w:bookmarkStart w:id="1" w:name="_Hlk115899167"/>
      <w:r w:rsidRPr="00D64A36">
        <w:rPr>
          <w:rFonts w:ascii="Arial Narrow" w:hAnsi="Arial Narrow"/>
          <w:sz w:val="16"/>
          <w:szCs w:val="16"/>
        </w:rPr>
        <w:fldChar w:fldCharType="begin"/>
      </w:r>
      <w:r w:rsidRPr="00D64A36">
        <w:rPr>
          <w:rFonts w:ascii="Arial Narrow" w:hAnsi="Arial Narrow"/>
          <w:sz w:val="16"/>
          <w:szCs w:val="16"/>
        </w:rPr>
        <w:instrText xml:space="preserve"> HYPERLINK "https://fasecolda.com/fasecolda/estadisticas-del-sector/resumen-ejecutivo/" </w:instrText>
      </w:r>
      <w:r w:rsidRPr="00D64A36">
        <w:rPr>
          <w:rFonts w:ascii="Arial Narrow" w:hAnsi="Arial Narrow"/>
          <w:sz w:val="16"/>
          <w:szCs w:val="16"/>
        </w:rPr>
        <w:fldChar w:fldCharType="separate"/>
      </w:r>
      <w:r w:rsidRPr="00D64A36">
        <w:rPr>
          <w:rStyle w:val="Hipervnculo"/>
          <w:rFonts w:ascii="Arial Narrow" w:hAnsi="Arial Narrow"/>
          <w:sz w:val="16"/>
          <w:szCs w:val="16"/>
        </w:rPr>
        <w:t>https://fasecolda.com/fasecolda/estadisticas-del-sector/resumen-ejecutivo/</w:t>
      </w:r>
      <w:r w:rsidRPr="00D64A36">
        <w:rPr>
          <w:rFonts w:ascii="Arial Narrow" w:hAnsi="Arial Narrow"/>
          <w:sz w:val="16"/>
          <w:szCs w:val="16"/>
        </w:rPr>
        <w:fldChar w:fldCharType="end"/>
      </w:r>
      <w:r w:rsidRPr="00D64A36">
        <w:rPr>
          <w:rFonts w:ascii="Arial Narrow" w:hAnsi="Arial Narrow"/>
          <w:sz w:val="16"/>
          <w:szCs w:val="16"/>
        </w:rPr>
        <w:t xml:space="preserve"> </w:t>
      </w:r>
      <w:bookmarkEnd w:id="1"/>
    </w:p>
  </w:footnote>
  <w:footnote w:id="6">
    <w:p w14:paraId="0DEB2E96"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w:t>
      </w:r>
      <w:hyperlink r:id="rId5" w:history="1">
        <w:r w:rsidRPr="00F02B6F">
          <w:rPr>
            <w:rStyle w:val="Hipervnculo"/>
            <w:rFonts w:ascii="Arial Narrow" w:hAnsi="Arial Narrow"/>
            <w:sz w:val="16"/>
            <w:szCs w:val="16"/>
          </w:rPr>
          <w:t>https://fasecolda.com/fasecolda/estadisticas-del-sector/resumen-ejecutivo/</w:t>
        </w:r>
      </w:hyperlink>
      <w:r w:rsidRPr="00F02B6F">
        <w:rPr>
          <w:rFonts w:ascii="Arial Narrow" w:hAnsi="Arial Narrow"/>
          <w:sz w:val="16"/>
          <w:szCs w:val="16"/>
        </w:rPr>
        <w:t xml:space="preserve"> </w:t>
      </w:r>
    </w:p>
  </w:footnote>
  <w:footnote w:id="7">
    <w:p w14:paraId="1266E9D1"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w:t>
      </w:r>
      <w:hyperlink r:id="rId6" w:history="1">
        <w:r w:rsidRPr="00F02B6F">
          <w:rPr>
            <w:rStyle w:val="Hipervnculo"/>
            <w:rFonts w:ascii="Arial Narrow" w:hAnsi="Arial Narrow"/>
            <w:sz w:val="16"/>
            <w:szCs w:val="16"/>
          </w:rPr>
          <w:t>https://fasecolda.com/fasecolda/estadisticas-del-sector/resumen-ejecutivo/</w:t>
        </w:r>
      </w:hyperlink>
      <w:r w:rsidRPr="00F02B6F">
        <w:rPr>
          <w:rFonts w:ascii="Arial Narrow" w:hAnsi="Arial Narrow"/>
          <w:sz w:val="16"/>
          <w:szCs w:val="16"/>
        </w:rPr>
        <w:t xml:space="preserve"> </w:t>
      </w:r>
    </w:p>
  </w:footnote>
  <w:footnote w:id="8">
    <w:p w14:paraId="1124A8AE" w14:textId="77777777" w:rsidR="00483BDA" w:rsidRPr="00F02B6F" w:rsidRDefault="00483BDA" w:rsidP="00483BDA">
      <w:pPr>
        <w:pStyle w:val="Textonotapie"/>
        <w:rPr>
          <w:rFonts w:ascii="Arial Narrow" w:hAnsi="Arial Narrow"/>
          <w:sz w:val="16"/>
          <w:szCs w:val="16"/>
        </w:rPr>
      </w:pPr>
      <w:r w:rsidRPr="00A37DEC">
        <w:rPr>
          <w:rStyle w:val="Refdenotaalpie"/>
          <w:rFonts w:ascii="Arial Narrow" w:hAnsi="Arial Narrow"/>
          <w:sz w:val="16"/>
          <w:szCs w:val="16"/>
        </w:rPr>
        <w:footnoteRef/>
      </w:r>
      <w:r>
        <w:t xml:space="preserve"> </w:t>
      </w:r>
      <w:hyperlink r:id="rId7"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rsidRPr="00F02B6F">
        <w:rPr>
          <w:rFonts w:ascii="Arial Narrow" w:hAnsi="Arial Narrow"/>
          <w:sz w:val="16"/>
          <w:szCs w:val="16"/>
        </w:rPr>
        <w:t xml:space="preserve"> </w:t>
      </w:r>
    </w:p>
  </w:footnote>
  <w:footnote w:id="9">
    <w:p w14:paraId="4667E610" w14:textId="77777777" w:rsidR="00483BDA" w:rsidRPr="00F02B6F" w:rsidRDefault="00483BDA" w:rsidP="00483BDA">
      <w:pPr>
        <w:pStyle w:val="Textonotapie"/>
        <w:rPr>
          <w:rFonts w:ascii="Arial Narrow" w:hAnsi="Arial Narrow"/>
          <w:sz w:val="16"/>
          <w:szCs w:val="16"/>
        </w:rPr>
      </w:pPr>
      <w:r w:rsidRPr="00F02B6F">
        <w:rPr>
          <w:rStyle w:val="Refdenotaalpie"/>
          <w:rFonts w:ascii="Arial Narrow" w:hAnsi="Arial Narrow"/>
          <w:sz w:val="16"/>
          <w:szCs w:val="16"/>
        </w:rPr>
        <w:footnoteRef/>
      </w:r>
      <w:r w:rsidRPr="00F02B6F">
        <w:rPr>
          <w:rFonts w:ascii="Arial Narrow" w:hAnsi="Arial Narrow"/>
          <w:sz w:val="16"/>
          <w:szCs w:val="16"/>
        </w:rPr>
        <w:t xml:space="preserve"> DANE (2022) Recuperado de: </w:t>
      </w:r>
      <w:hyperlink r:id="rId8"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rsidRPr="00F02B6F">
        <w:rPr>
          <w:rFonts w:ascii="Arial Narrow" w:hAnsi="Arial Narrow"/>
          <w:sz w:val="16"/>
          <w:szCs w:val="16"/>
        </w:rPr>
        <w:t xml:space="preserve"> </w:t>
      </w:r>
    </w:p>
    <w:p w14:paraId="1AF1DF43" w14:textId="77777777" w:rsidR="00483BDA" w:rsidRPr="00F512A3" w:rsidRDefault="00483BDA" w:rsidP="00483BDA">
      <w:pPr>
        <w:pStyle w:val="Textonotapie"/>
      </w:pPr>
    </w:p>
  </w:footnote>
  <w:footnote w:id="10">
    <w:p w14:paraId="4C0ED2F3" w14:textId="77777777" w:rsidR="00483BDA" w:rsidRPr="004D3A37" w:rsidRDefault="00483BDA" w:rsidP="00483BDA">
      <w:pPr>
        <w:pStyle w:val="Textonotapie"/>
      </w:pPr>
      <w:r>
        <w:rPr>
          <w:rStyle w:val="Refdenotaalpie"/>
        </w:rPr>
        <w:footnoteRef/>
      </w:r>
      <w:r>
        <w:t xml:space="preserve"> </w:t>
      </w:r>
      <w:hyperlink r:id="rId9" w:anchor=":~:text=Informaci%C3%B3n%20junio%202022&amp;text=En%20junio%20de%202022%20la,fue%20de%203%2C63%25" w:history="1">
        <w:r w:rsidRPr="00F02B6F">
          <w:rPr>
            <w:rStyle w:val="Hipervnculo"/>
            <w:rFonts w:ascii="Arial Narrow" w:hAnsi="Arial Narrow" w:cs="Arial"/>
            <w:sz w:val="16"/>
            <w:szCs w:val="16"/>
          </w:rPr>
          <w:t>https://www.dane.gov.co/index.php/estadisticas-por-tema/precios-y-costos/indice-de-precios-al-consumidor-ipc/ipc-informacion-tecnica#:~:text=Informaci%C3%B3n%20junio%202022&amp;text=En%20junio%20de%202022%20la,fue%20de%203%2C63%25</w:t>
        </w:r>
      </w:hyperlink>
      <w:r>
        <w:t xml:space="preserve"> </w:t>
      </w:r>
    </w:p>
  </w:footnote>
  <w:footnote w:id="11">
    <w:p w14:paraId="3D71239A" w14:textId="1FEACE0C" w:rsidR="002C1347" w:rsidRDefault="002C1347">
      <w:pPr>
        <w:pStyle w:val="Textonotapie"/>
      </w:pPr>
      <w:r>
        <w:rPr>
          <w:rStyle w:val="Refdenotaalpie"/>
        </w:rPr>
        <w:footnoteRef/>
      </w:r>
      <w:r>
        <w:t xml:space="preserve"> </w:t>
      </w:r>
      <w:r w:rsidRPr="002C1347">
        <w:rPr>
          <w:rFonts w:ascii="Arial Narrow" w:hAnsi="Arial Narrow"/>
          <w:sz w:val="16"/>
          <w:szCs w:val="16"/>
        </w:rPr>
        <w:t>https://www.superfinanciera.gov.co/jsp/loader.jsf?lServicio=Publicaciones&amp;lTipo=publicaciones&amp;lFuncion=loadContenidoPublicacion&amp;id=61137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8E43" w14:textId="29E1432C" w:rsidR="000C7D1C" w:rsidRDefault="00E41BBA" w:rsidP="00825109">
    <w:pPr>
      <w:pStyle w:val="Encabezado"/>
      <w:rPr>
        <w:b/>
        <w:bCs/>
        <w:i/>
        <w:iCs/>
      </w:rPr>
    </w:pPr>
    <w:r w:rsidRPr="00AF577D">
      <w:rPr>
        <w:noProof/>
      </w:rPr>
      <w:drawing>
        <wp:anchor distT="0" distB="0" distL="114300" distR="114300" simplePos="0" relativeHeight="251658240" behindDoc="1" locked="0" layoutInCell="1" allowOverlap="1" wp14:anchorId="1AE522BB" wp14:editId="5D11684E">
          <wp:simplePos x="0" y="0"/>
          <wp:positionH relativeFrom="margin">
            <wp:posOffset>3571240</wp:posOffset>
          </wp:positionH>
          <wp:positionV relativeFrom="paragraph">
            <wp:posOffset>-418770</wp:posOffset>
          </wp:positionV>
          <wp:extent cx="1826260" cy="573405"/>
          <wp:effectExtent l="0" t="0" r="254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1826260" cy="573405"/>
                  </a:xfrm>
                  <a:prstGeom prst="rect">
                    <a:avLst/>
                  </a:prstGeom>
                </pic:spPr>
              </pic:pic>
            </a:graphicData>
          </a:graphic>
          <wp14:sizeRelH relativeFrom="margin">
            <wp14:pctWidth>0</wp14:pctWidth>
          </wp14:sizeRelH>
          <wp14:sizeRelV relativeFrom="margin">
            <wp14:pctHeight>0</wp14:pctHeight>
          </wp14:sizeRelV>
        </wp:anchor>
      </w:drawing>
    </w:r>
    <w:r w:rsidR="00AF577D">
      <w:rPr>
        <w:b/>
        <w:bCs/>
        <w:i/>
        <w:iCs/>
        <w:noProof/>
      </w:rPr>
      <mc:AlternateContent>
        <mc:Choice Requires="wps">
          <w:drawing>
            <wp:anchor distT="0" distB="0" distL="114300" distR="114300" simplePos="0" relativeHeight="251659264" behindDoc="0" locked="0" layoutInCell="1" allowOverlap="1" wp14:anchorId="2E959635" wp14:editId="4A6D9E31">
              <wp:simplePos x="0" y="0"/>
              <wp:positionH relativeFrom="margin">
                <wp:posOffset>-1115283</wp:posOffset>
              </wp:positionH>
              <wp:positionV relativeFrom="paragraph">
                <wp:posOffset>205105</wp:posOffset>
              </wp:positionV>
              <wp:extent cx="6840000" cy="18000"/>
              <wp:effectExtent l="0" t="0" r="0" b="0"/>
              <wp:wrapNone/>
              <wp:docPr id="9" name="Rectángulo 9"/>
              <wp:cNvGraphicFramePr/>
              <a:graphic xmlns:a="http://schemas.openxmlformats.org/drawingml/2006/main">
                <a:graphicData uri="http://schemas.microsoft.com/office/word/2010/wordprocessingShape">
                  <wps:wsp>
                    <wps:cNvSpPr/>
                    <wps:spPr>
                      <a:xfrm>
                        <a:off x="0" y="0"/>
                        <a:ext cx="6840000"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97073" id="Rectángulo 9" o:spid="_x0000_s1026" style="position:absolute;margin-left:-87.8pt;margin-top:16.15pt;width:538.6pt;height: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UdwIAAF4FAAAOAAAAZHJzL2Uyb0RvYy54bWysVEtv2zAMvg/YfxB0X5wEadcFdYogRYYB&#10;RVu0HXpWZCk2IIsapcTJfv0o+ZGsK3YY5oNMiR8/PkTq+uZQG7ZX6CuwOZ+MxpwpK6Go7Dbn31/W&#10;n64480HYQhiwKudH5fnN4uOH68bN1RRKMIVCRiTWzxuX8zIEN88yL0tVCz8CpywpNWAtAm1xmxUo&#10;GmKvTTYdjy+zBrBwCFJ5T6e3rZIvEr/WSoYHrb0KzOScYgtpxbRu4potrsV8i8KVlezCEP8QRS0q&#10;S04HqlsRBNth9QdVXUkEDzqMJNQZaF1JlXKgbCbjN9k8l8KplAsVx7uhTP7/0cr7/bN7RCpD4/zc&#10;kxizOGis45/iY4dUrONQLHUITNLh5dVsTB9nknSTqygSS3YydujDVwU1i0LOke4ilUjs73xooT0k&#10;+vJgqmJdGZM2uN2sDLK9oHtbRT89+28wYyPYQjRrGeNJdkolSeFoVMQZ+6Q0qwoKfpoiSV2mBj9C&#10;SmXDpFWVolCt+4tz77Evo0XKNBFGZk3+B+6OoEe2JD13G2WHj6YqNelgPP5bYK3xYJE8gw2DcV1Z&#10;wPcIDGXVeW7xfZHa0sQqbaA4PiJDaEfEO7mu6N7uhA+PAmkm6KZpzsMDLdpAk3PoJM5KwJ/vnUc8&#10;tSppOWtoxnLuf+wEKs7MN0tN/GUym8WhTJvZxecpbfBcsznX2F29AmqHCb0oTiYx4oPpRY1Qv9Jz&#10;sIxeSSWsJN85lwH7zSq0s08PilTLZYLRIDoR7uyzk5E8VjX25cvhVaDrmjdQ199DP49i/qaHW2y0&#10;tLDcBdBVavBTXbt60xCnxukenPhKnO8T6vQsLn4BAAD//wMAUEsDBBQABgAIAAAAIQC0ydHE3wAA&#10;AAoBAAAPAAAAZHJzL2Rvd25yZXYueG1sTI9NS8NAEIbvgv9hGcGLtJu09CtmU6IoCAWh0UOP0+yY&#10;hO5HyG7b+O8dT3qcdx7eeSbfjtaICw2h805BOk1AkKu97lyj4PPjdbIGESI6jcY7UvBNAbbF7U2O&#10;mfZXt6dLFRvBJS5kqKCNsc+kDHVLFsPU9+R49+UHi5HHoZF6wCuXWyNnSbKUFjvHF1rs6bml+lSd&#10;rQKj10/+xbxheSqrg37fxQdtolL3d2P5CCLSGP9g+NVndSjY6ejPTgdhFEzS1WLJrIL5bA6CiU2S&#10;cnDkYJGCLHL5/4XiBwAA//8DAFBLAQItABQABgAIAAAAIQC2gziS/gAAAOEBAAATAAAAAAAAAAAA&#10;AAAAAAAAAABbQ29udGVudF9UeXBlc10ueG1sUEsBAi0AFAAGAAgAAAAhADj9If/WAAAAlAEAAAsA&#10;AAAAAAAAAAAAAAAALwEAAF9yZWxzLy5yZWxzUEsBAi0AFAAGAAgAAAAhAPS/4BR3AgAAXgUAAA4A&#10;AAAAAAAAAAAAAAAALgIAAGRycy9lMm9Eb2MueG1sUEsBAi0AFAAGAAgAAAAhALTJ0cTfAAAACgEA&#10;AA8AAAAAAAAAAAAAAAAA0QQAAGRycy9kb3ducmV2LnhtbFBLBQYAAAAABAAEAPMAAADdBQAAAAA=&#10;" fillcolor="#c00000" stroked="f" strokeweight="1pt">
              <w10:wrap anchorx="margin"/>
            </v:rect>
          </w:pict>
        </mc:Fallback>
      </mc:AlternateContent>
    </w:r>
    <w:r w:rsidR="00E154E6" w:rsidRPr="00AF577D">
      <w:rPr>
        <w:b/>
        <w:bCs/>
        <w:i/>
        <w:iCs/>
      </w:rPr>
      <w:t>ANÁLISIS DEL SECTOR</w:t>
    </w:r>
  </w:p>
  <w:p w14:paraId="330DE518" w14:textId="77777777" w:rsidR="000C7D1C" w:rsidRPr="00E41BBA" w:rsidRDefault="000C7D1C" w:rsidP="00825109">
    <w:pPr>
      <w:pStyle w:val="Encabezado"/>
      <w:rPr>
        <w:b/>
        <w:bCs/>
      </w:rPr>
    </w:pPr>
  </w:p>
  <w:p w14:paraId="770F2C83" w14:textId="1C6A0227" w:rsidR="003A24EF" w:rsidRPr="00AF577D" w:rsidRDefault="003A24EF" w:rsidP="008251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83D"/>
    <w:multiLevelType w:val="hybridMultilevel"/>
    <w:tmpl w:val="4B960E4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0230A9"/>
    <w:multiLevelType w:val="multilevel"/>
    <w:tmpl w:val="617C2B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4B22318"/>
    <w:multiLevelType w:val="hybridMultilevel"/>
    <w:tmpl w:val="2B72186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9E5CC7"/>
    <w:multiLevelType w:val="hybridMultilevel"/>
    <w:tmpl w:val="2B363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39488E"/>
    <w:multiLevelType w:val="hybridMultilevel"/>
    <w:tmpl w:val="689E12D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C1565A"/>
    <w:multiLevelType w:val="hybridMultilevel"/>
    <w:tmpl w:val="99A27DC8"/>
    <w:lvl w:ilvl="0" w:tplc="240A000F">
      <w:start w:val="7"/>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DA3CF4"/>
    <w:multiLevelType w:val="hybridMultilevel"/>
    <w:tmpl w:val="54CA6050"/>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7" w15:restartNumberingAfterBreak="0">
    <w:nsid w:val="411E4EC4"/>
    <w:multiLevelType w:val="hybridMultilevel"/>
    <w:tmpl w:val="1772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64C24"/>
    <w:multiLevelType w:val="hybridMultilevel"/>
    <w:tmpl w:val="4B9C074E"/>
    <w:lvl w:ilvl="0" w:tplc="DEC25084">
      <w:numFmt w:val="bullet"/>
      <w:lvlText w:val="•"/>
      <w:lvlJc w:val="left"/>
      <w:pPr>
        <w:ind w:left="718" w:hanging="720"/>
      </w:pPr>
      <w:rPr>
        <w:rFonts w:ascii="Tahoma" w:eastAsia="Arial Narrow" w:hAnsi="Tahoma" w:cs="Tahoma"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9" w15:restartNumberingAfterBreak="0">
    <w:nsid w:val="45F63448"/>
    <w:multiLevelType w:val="multilevel"/>
    <w:tmpl w:val="617C2B54"/>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B1F1B79"/>
    <w:multiLevelType w:val="hybridMultilevel"/>
    <w:tmpl w:val="66286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B622D05"/>
    <w:multiLevelType w:val="hybridMultilevel"/>
    <w:tmpl w:val="9B3030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CB6569"/>
    <w:multiLevelType w:val="multilevel"/>
    <w:tmpl w:val="0FFEDDB2"/>
    <w:lvl w:ilvl="0">
      <w:start w:val="1"/>
      <w:numFmt w:val="decimal"/>
      <w:lvlText w:val="%1."/>
      <w:lvlJc w:val="left"/>
      <w:pPr>
        <w:ind w:left="432" w:hanging="432"/>
      </w:pPr>
    </w:lvl>
    <w:lvl w:ilvl="1">
      <w:start w:val="1"/>
      <w:numFmt w:val="decimal"/>
      <w:lvlText w:val="%1.%2"/>
      <w:lvlJc w:val="left"/>
      <w:pPr>
        <w:ind w:left="576" w:hanging="576"/>
      </w:pPr>
      <w:rPr>
        <w:b/>
        <w:i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7910EC5"/>
    <w:multiLevelType w:val="hybridMultilevel"/>
    <w:tmpl w:val="99A26F5A"/>
    <w:lvl w:ilvl="0" w:tplc="3B269318">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BD95BC0"/>
    <w:multiLevelType w:val="hybridMultilevel"/>
    <w:tmpl w:val="4468BE3E"/>
    <w:lvl w:ilvl="0" w:tplc="DEC25084">
      <w:numFmt w:val="bullet"/>
      <w:lvlText w:val="•"/>
      <w:lvlJc w:val="left"/>
      <w:pPr>
        <w:ind w:left="716" w:hanging="720"/>
      </w:pPr>
      <w:rPr>
        <w:rFonts w:ascii="Tahoma" w:eastAsia="Arial Narrow" w:hAnsi="Tahoma" w:cs="Tahoma"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5" w15:restartNumberingAfterBreak="0">
    <w:nsid w:val="6954166E"/>
    <w:multiLevelType w:val="hybridMultilevel"/>
    <w:tmpl w:val="060899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DB46473"/>
    <w:multiLevelType w:val="hybridMultilevel"/>
    <w:tmpl w:val="B2E6C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E89467B"/>
    <w:multiLevelType w:val="hybridMultilevel"/>
    <w:tmpl w:val="26BC66E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EEB70E2"/>
    <w:multiLevelType w:val="hybridMultilevel"/>
    <w:tmpl w:val="C336A8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4257182"/>
    <w:multiLevelType w:val="hybridMultilevel"/>
    <w:tmpl w:val="EEB2E79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6C3720"/>
    <w:multiLevelType w:val="hybridMultilevel"/>
    <w:tmpl w:val="E760E94E"/>
    <w:lvl w:ilvl="0" w:tplc="24EE4C0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70863619">
    <w:abstractNumId w:val="12"/>
  </w:num>
  <w:num w:numId="2" w16cid:durableId="1139881346">
    <w:abstractNumId w:val="20"/>
  </w:num>
  <w:num w:numId="3" w16cid:durableId="541526580">
    <w:abstractNumId w:val="19"/>
  </w:num>
  <w:num w:numId="4" w16cid:durableId="843126730">
    <w:abstractNumId w:val="5"/>
  </w:num>
  <w:num w:numId="5" w16cid:durableId="1504396164">
    <w:abstractNumId w:val="7"/>
  </w:num>
  <w:num w:numId="6" w16cid:durableId="446631692">
    <w:abstractNumId w:val="16"/>
  </w:num>
  <w:num w:numId="7" w16cid:durableId="811020065">
    <w:abstractNumId w:val="3"/>
  </w:num>
  <w:num w:numId="8" w16cid:durableId="1804694376">
    <w:abstractNumId w:val="10"/>
  </w:num>
  <w:num w:numId="9" w16cid:durableId="2055887921">
    <w:abstractNumId w:val="1"/>
  </w:num>
  <w:num w:numId="10" w16cid:durableId="756368347">
    <w:abstractNumId w:val="9"/>
  </w:num>
  <w:num w:numId="11" w16cid:durableId="2124225813">
    <w:abstractNumId w:val="4"/>
  </w:num>
  <w:num w:numId="12" w16cid:durableId="766656968">
    <w:abstractNumId w:val="0"/>
  </w:num>
  <w:num w:numId="13" w16cid:durableId="151219092">
    <w:abstractNumId w:val="18"/>
  </w:num>
  <w:num w:numId="14" w16cid:durableId="1645819297">
    <w:abstractNumId w:val="2"/>
  </w:num>
  <w:num w:numId="15" w16cid:durableId="746654614">
    <w:abstractNumId w:val="17"/>
  </w:num>
  <w:num w:numId="16" w16cid:durableId="235556515">
    <w:abstractNumId w:val="11"/>
  </w:num>
  <w:num w:numId="17" w16cid:durableId="1498154150">
    <w:abstractNumId w:val="13"/>
  </w:num>
  <w:num w:numId="18" w16cid:durableId="1367172562">
    <w:abstractNumId w:val="15"/>
  </w:num>
  <w:num w:numId="19" w16cid:durableId="1546218930">
    <w:abstractNumId w:val="6"/>
  </w:num>
  <w:num w:numId="20" w16cid:durableId="346293205">
    <w:abstractNumId w:val="14"/>
  </w:num>
  <w:num w:numId="21" w16cid:durableId="77263432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EF"/>
    <w:rsid w:val="00006F69"/>
    <w:rsid w:val="00007ABA"/>
    <w:rsid w:val="00010FB4"/>
    <w:rsid w:val="0002449A"/>
    <w:rsid w:val="00040038"/>
    <w:rsid w:val="00040F52"/>
    <w:rsid w:val="0004273A"/>
    <w:rsid w:val="00042F8E"/>
    <w:rsid w:val="00076280"/>
    <w:rsid w:val="0008009D"/>
    <w:rsid w:val="000803CE"/>
    <w:rsid w:val="00085862"/>
    <w:rsid w:val="0009007C"/>
    <w:rsid w:val="00090933"/>
    <w:rsid w:val="00092569"/>
    <w:rsid w:val="00096714"/>
    <w:rsid w:val="000A57FE"/>
    <w:rsid w:val="000B4E71"/>
    <w:rsid w:val="000C7D1C"/>
    <w:rsid w:val="000F3014"/>
    <w:rsid w:val="00117B47"/>
    <w:rsid w:val="00121F6E"/>
    <w:rsid w:val="00147C7E"/>
    <w:rsid w:val="00155873"/>
    <w:rsid w:val="00161E04"/>
    <w:rsid w:val="0017299B"/>
    <w:rsid w:val="001771B6"/>
    <w:rsid w:val="0019463F"/>
    <w:rsid w:val="001A4BF8"/>
    <w:rsid w:val="001C46DE"/>
    <w:rsid w:val="001E2952"/>
    <w:rsid w:val="001F10FB"/>
    <w:rsid w:val="00205D18"/>
    <w:rsid w:val="00213AC1"/>
    <w:rsid w:val="00214D09"/>
    <w:rsid w:val="0021563B"/>
    <w:rsid w:val="00217033"/>
    <w:rsid w:val="00220184"/>
    <w:rsid w:val="0022097A"/>
    <w:rsid w:val="00230B60"/>
    <w:rsid w:val="00235DB4"/>
    <w:rsid w:val="002402B7"/>
    <w:rsid w:val="00246DFE"/>
    <w:rsid w:val="00246E99"/>
    <w:rsid w:val="00247A58"/>
    <w:rsid w:val="00250055"/>
    <w:rsid w:val="002518C2"/>
    <w:rsid w:val="00251CDB"/>
    <w:rsid w:val="00260341"/>
    <w:rsid w:val="00261768"/>
    <w:rsid w:val="0027116A"/>
    <w:rsid w:val="00271260"/>
    <w:rsid w:val="002753EA"/>
    <w:rsid w:val="002835BA"/>
    <w:rsid w:val="00290003"/>
    <w:rsid w:val="002935AF"/>
    <w:rsid w:val="002A7188"/>
    <w:rsid w:val="002A7F39"/>
    <w:rsid w:val="002B1C3E"/>
    <w:rsid w:val="002B2A4D"/>
    <w:rsid w:val="002C1347"/>
    <w:rsid w:val="002C1F92"/>
    <w:rsid w:val="002C5D39"/>
    <w:rsid w:val="002C78DC"/>
    <w:rsid w:val="002D1F71"/>
    <w:rsid w:val="002D5EF9"/>
    <w:rsid w:val="002F1C80"/>
    <w:rsid w:val="0030179C"/>
    <w:rsid w:val="00315E41"/>
    <w:rsid w:val="0032349C"/>
    <w:rsid w:val="003269EB"/>
    <w:rsid w:val="00330518"/>
    <w:rsid w:val="00330BC7"/>
    <w:rsid w:val="00340BE4"/>
    <w:rsid w:val="00340E0D"/>
    <w:rsid w:val="003567C6"/>
    <w:rsid w:val="00356BEA"/>
    <w:rsid w:val="00360518"/>
    <w:rsid w:val="00370EF1"/>
    <w:rsid w:val="003726C0"/>
    <w:rsid w:val="00372F3D"/>
    <w:rsid w:val="0037413D"/>
    <w:rsid w:val="003758AC"/>
    <w:rsid w:val="00376936"/>
    <w:rsid w:val="003906E2"/>
    <w:rsid w:val="0039511B"/>
    <w:rsid w:val="003A24EF"/>
    <w:rsid w:val="003A69C0"/>
    <w:rsid w:val="003B1D85"/>
    <w:rsid w:val="003C02B5"/>
    <w:rsid w:val="003D659A"/>
    <w:rsid w:val="003D7DB6"/>
    <w:rsid w:val="004013D1"/>
    <w:rsid w:val="004025A3"/>
    <w:rsid w:val="00443B56"/>
    <w:rsid w:val="004559F4"/>
    <w:rsid w:val="00457E41"/>
    <w:rsid w:val="004603A1"/>
    <w:rsid w:val="00472A00"/>
    <w:rsid w:val="0047458F"/>
    <w:rsid w:val="004804F1"/>
    <w:rsid w:val="00482D1E"/>
    <w:rsid w:val="00483BDA"/>
    <w:rsid w:val="004872CF"/>
    <w:rsid w:val="00497E81"/>
    <w:rsid w:val="004A30C3"/>
    <w:rsid w:val="004B0C8E"/>
    <w:rsid w:val="004C2A12"/>
    <w:rsid w:val="004C7801"/>
    <w:rsid w:val="004F18D7"/>
    <w:rsid w:val="004F31E9"/>
    <w:rsid w:val="004F6733"/>
    <w:rsid w:val="00506D6C"/>
    <w:rsid w:val="00507880"/>
    <w:rsid w:val="005140C5"/>
    <w:rsid w:val="0051437F"/>
    <w:rsid w:val="0051510B"/>
    <w:rsid w:val="005216EF"/>
    <w:rsid w:val="00527D05"/>
    <w:rsid w:val="00533A85"/>
    <w:rsid w:val="00533D67"/>
    <w:rsid w:val="005400F9"/>
    <w:rsid w:val="00540A65"/>
    <w:rsid w:val="00542641"/>
    <w:rsid w:val="005501C9"/>
    <w:rsid w:val="005574AF"/>
    <w:rsid w:val="005661B1"/>
    <w:rsid w:val="00571C28"/>
    <w:rsid w:val="005840C7"/>
    <w:rsid w:val="0059113C"/>
    <w:rsid w:val="005A1870"/>
    <w:rsid w:val="005B62BD"/>
    <w:rsid w:val="005C18E0"/>
    <w:rsid w:val="005C4CBE"/>
    <w:rsid w:val="005C5E9C"/>
    <w:rsid w:val="005C624B"/>
    <w:rsid w:val="005E136A"/>
    <w:rsid w:val="005E79FE"/>
    <w:rsid w:val="005F06E5"/>
    <w:rsid w:val="00604CAA"/>
    <w:rsid w:val="00616BE7"/>
    <w:rsid w:val="006428AE"/>
    <w:rsid w:val="0067137C"/>
    <w:rsid w:val="00686675"/>
    <w:rsid w:val="00686FB2"/>
    <w:rsid w:val="00695C70"/>
    <w:rsid w:val="006A181B"/>
    <w:rsid w:val="006A6FC0"/>
    <w:rsid w:val="006A785A"/>
    <w:rsid w:val="006A7C0C"/>
    <w:rsid w:val="006C404F"/>
    <w:rsid w:val="006E1869"/>
    <w:rsid w:val="006E1CC2"/>
    <w:rsid w:val="006E7FE5"/>
    <w:rsid w:val="006F6739"/>
    <w:rsid w:val="00701049"/>
    <w:rsid w:val="0070434F"/>
    <w:rsid w:val="0070530E"/>
    <w:rsid w:val="007065BE"/>
    <w:rsid w:val="00725DF9"/>
    <w:rsid w:val="007266D4"/>
    <w:rsid w:val="0073162A"/>
    <w:rsid w:val="00735E21"/>
    <w:rsid w:val="007413C9"/>
    <w:rsid w:val="007422FA"/>
    <w:rsid w:val="00743AA3"/>
    <w:rsid w:val="00743D6A"/>
    <w:rsid w:val="00746261"/>
    <w:rsid w:val="00746EDF"/>
    <w:rsid w:val="00753234"/>
    <w:rsid w:val="007616F8"/>
    <w:rsid w:val="00766F56"/>
    <w:rsid w:val="0076733D"/>
    <w:rsid w:val="007912F7"/>
    <w:rsid w:val="007916B1"/>
    <w:rsid w:val="0079410A"/>
    <w:rsid w:val="0079473A"/>
    <w:rsid w:val="007B2711"/>
    <w:rsid w:val="007B3985"/>
    <w:rsid w:val="007C144D"/>
    <w:rsid w:val="007C4F15"/>
    <w:rsid w:val="007C70B5"/>
    <w:rsid w:val="007E6CCD"/>
    <w:rsid w:val="007F6939"/>
    <w:rsid w:val="00803095"/>
    <w:rsid w:val="00806ADB"/>
    <w:rsid w:val="00811FFD"/>
    <w:rsid w:val="008231AC"/>
    <w:rsid w:val="00825109"/>
    <w:rsid w:val="008355EB"/>
    <w:rsid w:val="00854683"/>
    <w:rsid w:val="00867D40"/>
    <w:rsid w:val="00871654"/>
    <w:rsid w:val="008800CF"/>
    <w:rsid w:val="008929A1"/>
    <w:rsid w:val="00893CF4"/>
    <w:rsid w:val="008975AA"/>
    <w:rsid w:val="00897FCC"/>
    <w:rsid w:val="008A0100"/>
    <w:rsid w:val="008C436F"/>
    <w:rsid w:val="008D2D1A"/>
    <w:rsid w:val="008D62AF"/>
    <w:rsid w:val="008D6E27"/>
    <w:rsid w:val="008E1AA3"/>
    <w:rsid w:val="008E30FC"/>
    <w:rsid w:val="008E42C5"/>
    <w:rsid w:val="008E7694"/>
    <w:rsid w:val="008F25FA"/>
    <w:rsid w:val="008F60CF"/>
    <w:rsid w:val="008F60F1"/>
    <w:rsid w:val="00906EC5"/>
    <w:rsid w:val="00911CBC"/>
    <w:rsid w:val="00914199"/>
    <w:rsid w:val="00920D8A"/>
    <w:rsid w:val="00921095"/>
    <w:rsid w:val="009254F5"/>
    <w:rsid w:val="009256BB"/>
    <w:rsid w:val="00934671"/>
    <w:rsid w:val="009464F9"/>
    <w:rsid w:val="00947EB5"/>
    <w:rsid w:val="0095048B"/>
    <w:rsid w:val="00956443"/>
    <w:rsid w:val="0095740D"/>
    <w:rsid w:val="0095749A"/>
    <w:rsid w:val="00960737"/>
    <w:rsid w:val="00964317"/>
    <w:rsid w:val="0098004D"/>
    <w:rsid w:val="00984115"/>
    <w:rsid w:val="0099237E"/>
    <w:rsid w:val="009A2BAF"/>
    <w:rsid w:val="009C1DDF"/>
    <w:rsid w:val="009C4424"/>
    <w:rsid w:val="009D2236"/>
    <w:rsid w:val="009E7394"/>
    <w:rsid w:val="009F1FBB"/>
    <w:rsid w:val="009F2B12"/>
    <w:rsid w:val="00A03DC9"/>
    <w:rsid w:val="00A04748"/>
    <w:rsid w:val="00A10966"/>
    <w:rsid w:val="00A17767"/>
    <w:rsid w:val="00A24098"/>
    <w:rsid w:val="00A37DEC"/>
    <w:rsid w:val="00A5077F"/>
    <w:rsid w:val="00A51D67"/>
    <w:rsid w:val="00A56B53"/>
    <w:rsid w:val="00A635AA"/>
    <w:rsid w:val="00A654B5"/>
    <w:rsid w:val="00A766FF"/>
    <w:rsid w:val="00A90727"/>
    <w:rsid w:val="00A97100"/>
    <w:rsid w:val="00AA22C2"/>
    <w:rsid w:val="00AA4920"/>
    <w:rsid w:val="00AB3525"/>
    <w:rsid w:val="00AB66A5"/>
    <w:rsid w:val="00AC25E3"/>
    <w:rsid w:val="00AC5F48"/>
    <w:rsid w:val="00AC7742"/>
    <w:rsid w:val="00AD1D0C"/>
    <w:rsid w:val="00AD36DE"/>
    <w:rsid w:val="00AD5907"/>
    <w:rsid w:val="00AD6B97"/>
    <w:rsid w:val="00AE1297"/>
    <w:rsid w:val="00AE402C"/>
    <w:rsid w:val="00AE6CFB"/>
    <w:rsid w:val="00AF03B3"/>
    <w:rsid w:val="00AF577D"/>
    <w:rsid w:val="00AF7299"/>
    <w:rsid w:val="00B1770C"/>
    <w:rsid w:val="00B2321A"/>
    <w:rsid w:val="00B26D1F"/>
    <w:rsid w:val="00B3591E"/>
    <w:rsid w:val="00B40499"/>
    <w:rsid w:val="00B45FED"/>
    <w:rsid w:val="00B4706E"/>
    <w:rsid w:val="00B47361"/>
    <w:rsid w:val="00B7522D"/>
    <w:rsid w:val="00B77C85"/>
    <w:rsid w:val="00B9122E"/>
    <w:rsid w:val="00BA0BD6"/>
    <w:rsid w:val="00BA533F"/>
    <w:rsid w:val="00BD003A"/>
    <w:rsid w:val="00BF44CB"/>
    <w:rsid w:val="00BF503D"/>
    <w:rsid w:val="00C01DBD"/>
    <w:rsid w:val="00C03CB0"/>
    <w:rsid w:val="00C068FD"/>
    <w:rsid w:val="00C07E9A"/>
    <w:rsid w:val="00C1546A"/>
    <w:rsid w:val="00C161BE"/>
    <w:rsid w:val="00C173C6"/>
    <w:rsid w:val="00C2445A"/>
    <w:rsid w:val="00C33B28"/>
    <w:rsid w:val="00C368B5"/>
    <w:rsid w:val="00C40885"/>
    <w:rsid w:val="00C450D9"/>
    <w:rsid w:val="00C50EC4"/>
    <w:rsid w:val="00C60B0D"/>
    <w:rsid w:val="00C621F0"/>
    <w:rsid w:val="00C640C1"/>
    <w:rsid w:val="00C66055"/>
    <w:rsid w:val="00C678A0"/>
    <w:rsid w:val="00C702C6"/>
    <w:rsid w:val="00C761CD"/>
    <w:rsid w:val="00C76CFE"/>
    <w:rsid w:val="00C83575"/>
    <w:rsid w:val="00C842FA"/>
    <w:rsid w:val="00C84F2E"/>
    <w:rsid w:val="00C87614"/>
    <w:rsid w:val="00C9170B"/>
    <w:rsid w:val="00C91D19"/>
    <w:rsid w:val="00C95F99"/>
    <w:rsid w:val="00CC25F1"/>
    <w:rsid w:val="00CD1FDB"/>
    <w:rsid w:val="00CE0FFE"/>
    <w:rsid w:val="00CF250B"/>
    <w:rsid w:val="00CF4F27"/>
    <w:rsid w:val="00D00496"/>
    <w:rsid w:val="00D05418"/>
    <w:rsid w:val="00D1129D"/>
    <w:rsid w:val="00D1183B"/>
    <w:rsid w:val="00D20A8D"/>
    <w:rsid w:val="00D20F5C"/>
    <w:rsid w:val="00D2360A"/>
    <w:rsid w:val="00D34AEF"/>
    <w:rsid w:val="00D34E78"/>
    <w:rsid w:val="00D356EB"/>
    <w:rsid w:val="00D57572"/>
    <w:rsid w:val="00D663CA"/>
    <w:rsid w:val="00D741EA"/>
    <w:rsid w:val="00D7537E"/>
    <w:rsid w:val="00D90101"/>
    <w:rsid w:val="00D92E83"/>
    <w:rsid w:val="00D93F4C"/>
    <w:rsid w:val="00DA45D3"/>
    <w:rsid w:val="00DA481B"/>
    <w:rsid w:val="00DA6934"/>
    <w:rsid w:val="00DB3B59"/>
    <w:rsid w:val="00DC0A02"/>
    <w:rsid w:val="00DC5C60"/>
    <w:rsid w:val="00DD4BE9"/>
    <w:rsid w:val="00E11089"/>
    <w:rsid w:val="00E14D5B"/>
    <w:rsid w:val="00E154E6"/>
    <w:rsid w:val="00E20FE0"/>
    <w:rsid w:val="00E2630E"/>
    <w:rsid w:val="00E311E3"/>
    <w:rsid w:val="00E33785"/>
    <w:rsid w:val="00E345B4"/>
    <w:rsid w:val="00E35F86"/>
    <w:rsid w:val="00E41BBA"/>
    <w:rsid w:val="00E42D03"/>
    <w:rsid w:val="00E57D49"/>
    <w:rsid w:val="00E6514E"/>
    <w:rsid w:val="00E661C5"/>
    <w:rsid w:val="00E83807"/>
    <w:rsid w:val="00E84789"/>
    <w:rsid w:val="00EA0FF2"/>
    <w:rsid w:val="00EA47F0"/>
    <w:rsid w:val="00EC125D"/>
    <w:rsid w:val="00EC3E2C"/>
    <w:rsid w:val="00ED16D7"/>
    <w:rsid w:val="00ED23A6"/>
    <w:rsid w:val="00ED7F51"/>
    <w:rsid w:val="00EE11CD"/>
    <w:rsid w:val="00EE79A0"/>
    <w:rsid w:val="00F0085B"/>
    <w:rsid w:val="00F00CA5"/>
    <w:rsid w:val="00F1292F"/>
    <w:rsid w:val="00F12D4D"/>
    <w:rsid w:val="00F1398F"/>
    <w:rsid w:val="00F25B58"/>
    <w:rsid w:val="00F274BD"/>
    <w:rsid w:val="00F33A89"/>
    <w:rsid w:val="00F46462"/>
    <w:rsid w:val="00F535D1"/>
    <w:rsid w:val="00F61B75"/>
    <w:rsid w:val="00F63DCC"/>
    <w:rsid w:val="00F9025C"/>
    <w:rsid w:val="00F90811"/>
    <w:rsid w:val="00FA307F"/>
    <w:rsid w:val="00FA5596"/>
    <w:rsid w:val="00FB5AF0"/>
    <w:rsid w:val="00FC1CFA"/>
    <w:rsid w:val="00FC1D98"/>
    <w:rsid w:val="00FC2292"/>
    <w:rsid w:val="00FC7980"/>
    <w:rsid w:val="00FD0A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6029F0"/>
  <w15:chartTrackingRefBased/>
  <w15:docId w15:val="{6675C1E0-E0A4-434F-83F4-8E38B59F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100"/>
    <w:pPr>
      <w:spacing w:after="200" w:line="276" w:lineRule="auto"/>
    </w:pPr>
    <w:rPr>
      <w:lang w:val="es-CO"/>
    </w:rPr>
  </w:style>
  <w:style w:type="paragraph" w:styleId="Ttulo1">
    <w:name w:val="heading 1"/>
    <w:basedOn w:val="Normal"/>
    <w:next w:val="Normal"/>
    <w:link w:val="Ttulo1Car"/>
    <w:qFormat/>
    <w:rsid w:val="0048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semiHidden/>
    <w:unhideWhenUsed/>
    <w:qFormat/>
    <w:rsid w:val="00C842FA"/>
    <w:pPr>
      <w:keepNext/>
      <w:spacing w:before="240" w:after="60" w:line="240" w:lineRule="auto"/>
      <w:outlineLvl w:val="1"/>
    </w:pPr>
    <w:rPr>
      <w:rFonts w:ascii="Calibri Light" w:eastAsia="Times New Roman" w:hAnsi="Calibri Light" w:cs="Times New Roman"/>
      <w:b/>
      <w:bCs/>
      <w:i/>
      <w:iCs/>
      <w:sz w:val="28"/>
      <w:szCs w:val="28"/>
      <w:lang w:val="es-ES" w:eastAsia="es-ES"/>
    </w:rPr>
  </w:style>
  <w:style w:type="paragraph" w:styleId="Ttulo3">
    <w:name w:val="heading 3"/>
    <w:basedOn w:val="Normal"/>
    <w:next w:val="Normal"/>
    <w:link w:val="Ttulo3Car"/>
    <w:semiHidden/>
    <w:unhideWhenUsed/>
    <w:qFormat/>
    <w:rsid w:val="00C842FA"/>
    <w:pPr>
      <w:keepNext/>
      <w:spacing w:before="240" w:after="60" w:line="240" w:lineRule="auto"/>
      <w:outlineLvl w:val="2"/>
    </w:pPr>
    <w:rPr>
      <w:rFonts w:ascii="Calibri Light" w:eastAsia="Times New Roman" w:hAnsi="Calibri Light"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4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24EF"/>
  </w:style>
  <w:style w:type="paragraph" w:styleId="Piedepgina">
    <w:name w:val="footer"/>
    <w:basedOn w:val="Normal"/>
    <w:link w:val="PiedepginaCar"/>
    <w:unhideWhenUsed/>
    <w:rsid w:val="003A24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24EF"/>
  </w:style>
  <w:style w:type="paragraph" w:styleId="Prrafodelista">
    <w:name w:val="List Paragraph"/>
    <w:aliases w:val="Bullet List,FooterText,numbered,Paragraphe de liste1,Bulletr List Paragraph,Foot,列出段落,列出段落1,List Paragraph2,List Paragraph21,Parágrafo da Lista1,リスト段落1,Listeafsnit1,lp1,HOJA,Bolita,List Paragraph,Párrafo de lista4,BOLADEF,BOLA"/>
    <w:basedOn w:val="Normal"/>
    <w:link w:val="PrrafodelistaCar"/>
    <w:uiPriority w:val="34"/>
    <w:qFormat/>
    <w:rsid w:val="00F0085B"/>
    <w:pPr>
      <w:ind w:left="720"/>
      <w:contextualSpacing/>
    </w:p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basedOn w:val="Fuentedeprrafopredeter"/>
    <w:link w:val="Prrafodelista"/>
    <w:uiPriority w:val="34"/>
    <w:qFormat/>
    <w:locked/>
    <w:rsid w:val="008C436F"/>
    <w:rPr>
      <w:lang w:val="es-CO"/>
    </w:rPr>
  </w:style>
  <w:style w:type="character" w:styleId="Refdecomentario">
    <w:name w:val="annotation reference"/>
    <w:basedOn w:val="Fuentedeprrafopredeter"/>
    <w:unhideWhenUsed/>
    <w:rsid w:val="008C436F"/>
    <w:rPr>
      <w:sz w:val="16"/>
      <w:szCs w:val="16"/>
    </w:rPr>
  </w:style>
  <w:style w:type="paragraph" w:styleId="Textocomentario">
    <w:name w:val="annotation text"/>
    <w:basedOn w:val="Normal"/>
    <w:link w:val="TextocomentarioCar"/>
    <w:unhideWhenUsed/>
    <w:rsid w:val="008C436F"/>
    <w:pPr>
      <w:spacing w:line="240" w:lineRule="auto"/>
    </w:pPr>
    <w:rPr>
      <w:sz w:val="20"/>
      <w:szCs w:val="20"/>
    </w:rPr>
  </w:style>
  <w:style w:type="character" w:customStyle="1" w:styleId="TextocomentarioCar">
    <w:name w:val="Texto comentario Car"/>
    <w:basedOn w:val="Fuentedeprrafopredeter"/>
    <w:link w:val="Textocomentario"/>
    <w:rsid w:val="008C436F"/>
    <w:rPr>
      <w:sz w:val="20"/>
      <w:szCs w:val="20"/>
      <w:lang w:val="es-CO"/>
    </w:rPr>
  </w:style>
  <w:style w:type="paragraph" w:styleId="Textodeglobo">
    <w:name w:val="Balloon Text"/>
    <w:basedOn w:val="Normal"/>
    <w:link w:val="TextodegloboCar"/>
    <w:unhideWhenUsed/>
    <w:rsid w:val="008C43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8C436F"/>
    <w:rPr>
      <w:rFonts w:ascii="Segoe UI" w:hAnsi="Segoe UI" w:cs="Segoe UI"/>
      <w:sz w:val="18"/>
      <w:szCs w:val="18"/>
      <w:lang w:val="es-CO"/>
    </w:rPr>
  </w:style>
  <w:style w:type="character" w:styleId="Hipervnculo">
    <w:name w:val="Hyperlink"/>
    <w:basedOn w:val="Fuentedeprrafopredeter"/>
    <w:unhideWhenUsed/>
    <w:rsid w:val="00DC5C60"/>
    <w:rPr>
      <w:color w:val="0563C1" w:themeColor="hyperlink"/>
      <w:u w:val="single"/>
    </w:rPr>
  </w:style>
  <w:style w:type="character" w:styleId="Mencinsinresolver">
    <w:name w:val="Unresolved Mention"/>
    <w:basedOn w:val="Fuentedeprrafopredeter"/>
    <w:uiPriority w:val="99"/>
    <w:semiHidden/>
    <w:unhideWhenUsed/>
    <w:rsid w:val="00DC5C60"/>
    <w:rPr>
      <w:color w:val="605E5C"/>
      <w:shd w:val="clear" w:color="auto" w:fill="E1DFDD"/>
    </w:rPr>
  </w:style>
  <w:style w:type="table" w:styleId="Tablaconcuadrcula">
    <w:name w:val="Table Grid"/>
    <w:basedOn w:val="Tablanormal"/>
    <w:rsid w:val="00B45FED"/>
    <w:pPr>
      <w:spacing w:after="0" w:line="240" w:lineRule="auto"/>
      <w:jc w:val="both"/>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nhideWhenUsed/>
    <w:rsid w:val="00FD0A0D"/>
    <w:rPr>
      <w:b/>
      <w:bCs/>
    </w:rPr>
  </w:style>
  <w:style w:type="character" w:customStyle="1" w:styleId="AsuntodelcomentarioCar">
    <w:name w:val="Asunto del comentario Car"/>
    <w:basedOn w:val="TextocomentarioCar"/>
    <w:link w:val="Asuntodelcomentario"/>
    <w:rsid w:val="00FD0A0D"/>
    <w:rPr>
      <w:b/>
      <w:bCs/>
      <w:sz w:val="20"/>
      <w:szCs w:val="20"/>
      <w:lang w:val="es-CO"/>
    </w:rPr>
  </w:style>
  <w:style w:type="paragraph" w:customStyle="1" w:styleId="Default">
    <w:name w:val="Default"/>
    <w:rsid w:val="00E84789"/>
    <w:pPr>
      <w:autoSpaceDE w:val="0"/>
      <w:autoSpaceDN w:val="0"/>
      <w:adjustRightInd w:val="0"/>
      <w:spacing w:after="0" w:line="240" w:lineRule="auto"/>
    </w:pPr>
    <w:rPr>
      <w:rFonts w:ascii="Cambria Math" w:hAnsi="Cambria Math" w:cs="Cambria Math"/>
      <w:color w:val="000000"/>
      <w:sz w:val="24"/>
      <w:szCs w:val="24"/>
    </w:rPr>
  </w:style>
  <w:style w:type="paragraph" w:styleId="Textonotapie">
    <w:name w:val="footnote text"/>
    <w:basedOn w:val="Normal"/>
    <w:link w:val="TextonotapieCar"/>
    <w:unhideWhenUsed/>
    <w:rsid w:val="00117B47"/>
    <w:pPr>
      <w:spacing w:after="0" w:line="240" w:lineRule="auto"/>
    </w:pPr>
    <w:rPr>
      <w:sz w:val="20"/>
      <w:szCs w:val="20"/>
    </w:rPr>
  </w:style>
  <w:style w:type="character" w:customStyle="1" w:styleId="TextonotapieCar">
    <w:name w:val="Texto nota pie Car"/>
    <w:basedOn w:val="Fuentedeprrafopredeter"/>
    <w:link w:val="Textonotapie"/>
    <w:rsid w:val="00117B47"/>
    <w:rPr>
      <w:sz w:val="20"/>
      <w:szCs w:val="20"/>
      <w:lang w:val="es-CO"/>
    </w:rPr>
  </w:style>
  <w:style w:type="character" w:styleId="Refdenotaalpie">
    <w:name w:val="footnote reference"/>
    <w:basedOn w:val="Fuentedeprrafopredeter"/>
    <w:unhideWhenUsed/>
    <w:rsid w:val="00117B47"/>
    <w:rPr>
      <w:vertAlign w:val="superscript"/>
    </w:rPr>
  </w:style>
  <w:style w:type="paragraph" w:styleId="Subttulo">
    <w:name w:val="Subtitle"/>
    <w:basedOn w:val="Normal"/>
    <w:next w:val="Normal"/>
    <w:link w:val="SubttuloCar"/>
    <w:qFormat/>
    <w:rsid w:val="00483BDA"/>
    <w:pPr>
      <w:spacing w:after="60" w:line="240" w:lineRule="auto"/>
      <w:jc w:val="center"/>
      <w:outlineLvl w:val="1"/>
    </w:pPr>
    <w:rPr>
      <w:rFonts w:ascii="Calibri Light" w:eastAsia="Times New Roman" w:hAnsi="Calibri Light" w:cs="Times New Roman"/>
      <w:sz w:val="24"/>
      <w:szCs w:val="24"/>
      <w:lang w:val="es-ES" w:eastAsia="es-ES"/>
    </w:rPr>
  </w:style>
  <w:style w:type="character" w:customStyle="1" w:styleId="SubttuloCar">
    <w:name w:val="Subtítulo Car"/>
    <w:basedOn w:val="Fuentedeprrafopredeter"/>
    <w:link w:val="Subttulo"/>
    <w:rsid w:val="00483BDA"/>
    <w:rPr>
      <w:rFonts w:ascii="Calibri Light" w:eastAsia="Times New Roman" w:hAnsi="Calibri Light" w:cs="Times New Roman"/>
      <w:sz w:val="24"/>
      <w:szCs w:val="24"/>
      <w:lang w:eastAsia="es-ES"/>
    </w:rPr>
  </w:style>
  <w:style w:type="paragraph" w:customStyle="1" w:styleId="Estilo2">
    <w:name w:val="Estilo 2"/>
    <w:basedOn w:val="Ttulo1"/>
    <w:link w:val="Estilo2Car"/>
    <w:qFormat/>
    <w:rsid w:val="00483BDA"/>
    <w:pPr>
      <w:keepLines w:val="0"/>
      <w:spacing w:after="60" w:line="240" w:lineRule="auto"/>
    </w:pPr>
    <w:rPr>
      <w:rFonts w:ascii="Arial" w:eastAsia="Times New Roman" w:hAnsi="Arial" w:cs="Arial"/>
      <w:b/>
      <w:bCs/>
      <w:color w:val="auto"/>
      <w:kern w:val="32"/>
      <w:sz w:val="24"/>
      <w:szCs w:val="24"/>
      <w:u w:val="single"/>
      <w:lang w:val="es-ES" w:eastAsia="es-ES"/>
    </w:rPr>
  </w:style>
  <w:style w:type="paragraph" w:customStyle="1" w:styleId="Estilo3">
    <w:name w:val="Estilo 3"/>
    <w:basedOn w:val="Prrafodelista"/>
    <w:link w:val="Estilo3Car"/>
    <w:qFormat/>
    <w:rsid w:val="00483BDA"/>
    <w:pPr>
      <w:spacing w:after="0" w:line="240" w:lineRule="auto"/>
      <w:ind w:left="0"/>
      <w:jc w:val="both"/>
    </w:pPr>
    <w:rPr>
      <w:rFonts w:ascii="Arial" w:eastAsia="Times New Roman" w:hAnsi="Arial" w:cs="Arial"/>
      <w:sz w:val="24"/>
      <w:szCs w:val="24"/>
      <w:lang w:val="es-ES" w:eastAsia="es-ES"/>
    </w:rPr>
  </w:style>
  <w:style w:type="character" w:customStyle="1" w:styleId="Estilo2Car">
    <w:name w:val="Estilo 2 Car"/>
    <w:link w:val="Estilo2"/>
    <w:rsid w:val="00483BDA"/>
    <w:rPr>
      <w:rFonts w:ascii="Arial" w:eastAsia="Times New Roman" w:hAnsi="Arial" w:cs="Arial"/>
      <w:b/>
      <w:bCs/>
      <w:kern w:val="32"/>
      <w:sz w:val="24"/>
      <w:szCs w:val="24"/>
      <w:u w:val="single"/>
      <w:lang w:eastAsia="es-ES"/>
    </w:rPr>
  </w:style>
  <w:style w:type="paragraph" w:styleId="Descripcin">
    <w:name w:val="caption"/>
    <w:basedOn w:val="Normal"/>
    <w:next w:val="Normal"/>
    <w:unhideWhenUsed/>
    <w:qFormat/>
    <w:rsid w:val="00483BDA"/>
    <w:pPr>
      <w:spacing w:after="0" w:line="240" w:lineRule="auto"/>
    </w:pPr>
    <w:rPr>
      <w:rFonts w:ascii="Times New Roman" w:eastAsia="Times New Roman" w:hAnsi="Times New Roman" w:cs="Times New Roman"/>
      <w:b/>
      <w:bCs/>
      <w:sz w:val="20"/>
      <w:szCs w:val="20"/>
      <w:lang w:val="es-ES" w:eastAsia="es-ES"/>
    </w:rPr>
  </w:style>
  <w:style w:type="character" w:customStyle="1" w:styleId="Estilo3Car">
    <w:name w:val="Estilo 3 Car"/>
    <w:link w:val="Estilo3"/>
    <w:rsid w:val="00483BDA"/>
    <w:rPr>
      <w:rFonts w:ascii="Arial" w:eastAsia="Times New Roman" w:hAnsi="Arial" w:cs="Arial"/>
      <w:sz w:val="24"/>
      <w:szCs w:val="24"/>
      <w:lang w:eastAsia="es-ES"/>
    </w:rPr>
  </w:style>
  <w:style w:type="character" w:customStyle="1" w:styleId="Ttulo1Car">
    <w:name w:val="Título 1 Car"/>
    <w:basedOn w:val="Fuentedeprrafopredeter"/>
    <w:link w:val="Ttulo1"/>
    <w:rsid w:val="00483BDA"/>
    <w:rPr>
      <w:rFonts w:asciiTheme="majorHAnsi" w:eastAsiaTheme="majorEastAsia" w:hAnsiTheme="majorHAnsi" w:cstheme="majorBidi"/>
      <w:color w:val="2F5496" w:themeColor="accent1" w:themeShade="BF"/>
      <w:sz w:val="32"/>
      <w:szCs w:val="32"/>
      <w:lang w:val="es-CO"/>
    </w:rPr>
  </w:style>
  <w:style w:type="character" w:styleId="Hipervnculovisitado">
    <w:name w:val="FollowedHyperlink"/>
    <w:basedOn w:val="Fuentedeprrafopredeter"/>
    <w:unhideWhenUsed/>
    <w:rsid w:val="00A37DEC"/>
    <w:rPr>
      <w:color w:val="954F72" w:themeColor="followedHyperlink"/>
      <w:u w:val="single"/>
    </w:rPr>
  </w:style>
  <w:style w:type="character" w:customStyle="1" w:styleId="Ttulo2Car">
    <w:name w:val="Título 2 Car"/>
    <w:basedOn w:val="Fuentedeprrafopredeter"/>
    <w:link w:val="Ttulo2"/>
    <w:semiHidden/>
    <w:rsid w:val="00C842FA"/>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semiHidden/>
    <w:rsid w:val="00C842FA"/>
    <w:rPr>
      <w:rFonts w:ascii="Calibri Light" w:eastAsia="Times New Roman" w:hAnsi="Calibri Light" w:cs="Times New Roman"/>
      <w:b/>
      <w:bCs/>
      <w:sz w:val="26"/>
      <w:szCs w:val="26"/>
      <w:lang w:eastAsia="es-ES"/>
    </w:rPr>
  </w:style>
  <w:style w:type="paragraph" w:styleId="Textoindependiente">
    <w:name w:val="Body Text"/>
    <w:basedOn w:val="Normal"/>
    <w:link w:val="TextoindependienteCar"/>
    <w:rsid w:val="00C842FA"/>
    <w:pPr>
      <w:spacing w:after="0" w:line="240" w:lineRule="auto"/>
      <w:jc w:val="both"/>
    </w:pPr>
    <w:rPr>
      <w:rFonts w:ascii="Arial" w:eastAsia="Times New Roman" w:hAnsi="Arial" w:cs="Arial"/>
      <w:sz w:val="28"/>
      <w:szCs w:val="24"/>
      <w:lang w:eastAsia="es-ES"/>
    </w:rPr>
  </w:style>
  <w:style w:type="character" w:customStyle="1" w:styleId="TextoindependienteCar">
    <w:name w:val="Texto independiente Car"/>
    <w:basedOn w:val="Fuentedeprrafopredeter"/>
    <w:link w:val="Textoindependiente"/>
    <w:rsid w:val="00C842FA"/>
    <w:rPr>
      <w:rFonts w:ascii="Arial" w:eastAsia="Times New Roman" w:hAnsi="Arial" w:cs="Arial"/>
      <w:sz w:val="28"/>
      <w:szCs w:val="24"/>
      <w:lang w:val="es-CO" w:eastAsia="es-ES"/>
    </w:rPr>
  </w:style>
  <w:style w:type="paragraph" w:styleId="Lista">
    <w:name w:val="List"/>
    <w:basedOn w:val="Textoindependiente"/>
    <w:rsid w:val="00C842FA"/>
    <w:pPr>
      <w:suppressAutoHyphens/>
    </w:pPr>
    <w:rPr>
      <w:rFonts w:cs="Times New Roman"/>
      <w:sz w:val="24"/>
      <w:szCs w:val="20"/>
    </w:rPr>
  </w:style>
  <w:style w:type="paragraph" w:styleId="Sangra2detindependiente">
    <w:name w:val="Body Text Indent 2"/>
    <w:basedOn w:val="Normal"/>
    <w:link w:val="Sangra2detindependienteCar"/>
    <w:rsid w:val="00C842F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C842FA"/>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C842FA"/>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C842FA"/>
    <w:rPr>
      <w:rFonts w:ascii="Times New Roman" w:eastAsia="Times New Roman" w:hAnsi="Times New Roman" w:cs="Times New Roman"/>
      <w:sz w:val="16"/>
      <w:szCs w:val="16"/>
      <w:lang w:eastAsia="es-ES"/>
    </w:rPr>
  </w:style>
  <w:style w:type="paragraph" w:styleId="NormalWeb">
    <w:name w:val="Normal (Web)"/>
    <w:basedOn w:val="Normal"/>
    <w:uiPriority w:val="99"/>
    <w:unhideWhenUsed/>
    <w:rsid w:val="00C842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C842FA"/>
    <w:pPr>
      <w:spacing w:after="0" w:line="240" w:lineRule="auto"/>
    </w:pPr>
    <w:rPr>
      <w:rFonts w:ascii="Calibri" w:eastAsia="Calibri" w:hAnsi="Calibri" w:cs="Times New Roman"/>
      <w:lang w:val="es-CO"/>
    </w:rPr>
  </w:style>
  <w:style w:type="character" w:styleId="nfasis">
    <w:name w:val="Emphasis"/>
    <w:uiPriority w:val="20"/>
    <w:qFormat/>
    <w:rsid w:val="00C842FA"/>
    <w:rPr>
      <w:i/>
      <w:iCs/>
    </w:rPr>
  </w:style>
  <w:style w:type="character" w:styleId="Textoennegrita">
    <w:name w:val="Strong"/>
    <w:uiPriority w:val="22"/>
    <w:qFormat/>
    <w:rsid w:val="00C842FA"/>
    <w:rPr>
      <w:b/>
      <w:bCs/>
    </w:rPr>
  </w:style>
  <w:style w:type="paragraph" w:styleId="Ttulo">
    <w:name w:val="Title"/>
    <w:basedOn w:val="Normal"/>
    <w:next w:val="Normal"/>
    <w:link w:val="TtuloCar"/>
    <w:qFormat/>
    <w:rsid w:val="00C842FA"/>
    <w:pPr>
      <w:spacing w:before="240" w:after="60" w:line="240" w:lineRule="auto"/>
      <w:jc w:val="center"/>
      <w:outlineLvl w:val="0"/>
    </w:pPr>
    <w:rPr>
      <w:rFonts w:ascii="Calibri Light" w:eastAsia="Times New Roman" w:hAnsi="Calibri Light" w:cs="Times New Roman"/>
      <w:b/>
      <w:bCs/>
      <w:kern w:val="28"/>
      <w:sz w:val="32"/>
      <w:szCs w:val="32"/>
      <w:lang w:val="es-ES" w:eastAsia="es-ES"/>
    </w:rPr>
  </w:style>
  <w:style w:type="character" w:customStyle="1" w:styleId="TtuloCar">
    <w:name w:val="Título Car"/>
    <w:basedOn w:val="Fuentedeprrafopredeter"/>
    <w:link w:val="Ttulo"/>
    <w:rsid w:val="00C842FA"/>
    <w:rPr>
      <w:rFonts w:ascii="Calibri Light" w:eastAsia="Times New Roman" w:hAnsi="Calibri Light" w:cs="Times New Roman"/>
      <w:b/>
      <w:bCs/>
      <w:kern w:val="28"/>
      <w:sz w:val="32"/>
      <w:szCs w:val="32"/>
      <w:lang w:eastAsia="es-ES"/>
    </w:rPr>
  </w:style>
  <w:style w:type="paragraph" w:styleId="Textoindependiente2">
    <w:name w:val="Body Text 2"/>
    <w:basedOn w:val="Normal"/>
    <w:link w:val="Textoindependiente2Car"/>
    <w:rsid w:val="00C842F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C842FA"/>
    <w:rPr>
      <w:rFonts w:ascii="Times New Roman" w:eastAsia="Times New Roman" w:hAnsi="Times New Roman" w:cs="Times New Roman"/>
      <w:sz w:val="24"/>
      <w:szCs w:val="24"/>
      <w:lang w:eastAsia="es-ES"/>
    </w:rPr>
  </w:style>
  <w:style w:type="character" w:styleId="CitaHTML">
    <w:name w:val="HTML Cite"/>
    <w:uiPriority w:val="99"/>
    <w:unhideWhenUsed/>
    <w:rsid w:val="00C842FA"/>
    <w:rPr>
      <w:i/>
      <w:iCs/>
    </w:rPr>
  </w:style>
  <w:style w:type="paragraph" w:styleId="Textonotaalfinal">
    <w:name w:val="endnote text"/>
    <w:basedOn w:val="Normal"/>
    <w:link w:val="TextonotaalfinalCar"/>
    <w:rsid w:val="00C842FA"/>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C842FA"/>
    <w:rPr>
      <w:rFonts w:ascii="Times New Roman" w:eastAsia="Times New Roman" w:hAnsi="Times New Roman" w:cs="Times New Roman"/>
      <w:sz w:val="20"/>
      <w:szCs w:val="20"/>
      <w:lang w:eastAsia="es-ES"/>
    </w:rPr>
  </w:style>
  <w:style w:type="character" w:styleId="Refdenotaalfinal">
    <w:name w:val="endnote reference"/>
    <w:rsid w:val="00C842FA"/>
    <w:rPr>
      <w:vertAlign w:val="superscript"/>
    </w:rPr>
  </w:style>
  <w:style w:type="table" w:customStyle="1" w:styleId="17">
    <w:name w:val="17"/>
    <w:basedOn w:val="Tablanormal"/>
    <w:rsid w:val="004013D1"/>
    <w:pPr>
      <w:spacing w:after="0" w:line="240" w:lineRule="auto"/>
    </w:pPr>
    <w:rPr>
      <w:rFonts w:ascii="Times New Roman" w:eastAsia="Times New Roman" w:hAnsi="Times New Roman" w:cs="Times New Roman"/>
      <w:sz w:val="24"/>
      <w:szCs w:val="24"/>
      <w:lang w:eastAsia="es-CO"/>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4300">
      <w:bodyDiv w:val="1"/>
      <w:marLeft w:val="0"/>
      <w:marRight w:val="0"/>
      <w:marTop w:val="0"/>
      <w:marBottom w:val="0"/>
      <w:divBdr>
        <w:top w:val="none" w:sz="0" w:space="0" w:color="auto"/>
        <w:left w:val="none" w:sz="0" w:space="0" w:color="auto"/>
        <w:bottom w:val="none" w:sz="0" w:space="0" w:color="auto"/>
        <w:right w:val="none" w:sz="0" w:space="0" w:color="auto"/>
      </w:divBdr>
    </w:div>
    <w:div w:id="1303579122">
      <w:bodyDiv w:val="1"/>
      <w:marLeft w:val="0"/>
      <w:marRight w:val="0"/>
      <w:marTop w:val="0"/>
      <w:marBottom w:val="0"/>
      <w:divBdr>
        <w:top w:val="none" w:sz="0" w:space="0" w:color="auto"/>
        <w:left w:val="none" w:sz="0" w:space="0" w:color="auto"/>
        <w:bottom w:val="none" w:sz="0" w:space="0" w:color="auto"/>
        <w:right w:val="none" w:sz="0" w:space="0" w:color="auto"/>
      </w:divBdr>
    </w:div>
    <w:div w:id="1332374124">
      <w:bodyDiv w:val="1"/>
      <w:marLeft w:val="0"/>
      <w:marRight w:val="0"/>
      <w:marTop w:val="0"/>
      <w:marBottom w:val="0"/>
      <w:divBdr>
        <w:top w:val="none" w:sz="0" w:space="0" w:color="auto"/>
        <w:left w:val="none" w:sz="0" w:space="0" w:color="auto"/>
        <w:bottom w:val="none" w:sz="0" w:space="0" w:color="auto"/>
        <w:right w:val="none" w:sz="0" w:space="0" w:color="auto"/>
      </w:divBdr>
    </w:div>
    <w:div w:id="209428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secolda.com/"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distrital.edu.co/" TargetMode="External"/><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javascript:parent.onLocalLink('_ftn2',window.frameElemen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5.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index.php/estadisticas-por-tema/precios-y-costos/indice-de-precios-al-consumidor-ipc/ipc-informacion-tecnica" TargetMode="External"/><Relationship Id="rId3" Type="http://schemas.openxmlformats.org/officeDocument/2006/relationships/hyperlink" Target="http://www.fasecolda.com/index.php/fasecolda/estadisticas-del-sector/" TargetMode="External"/><Relationship Id="rId7" Type="http://schemas.openxmlformats.org/officeDocument/2006/relationships/hyperlink" Target="https://www.dane.gov.co/index.php/estadisticas-por-tema/precios-y-costos/indice-de-precios-al-consumidor-ipc/ipc-informacion-tecnica" TargetMode="External"/><Relationship Id="rId2" Type="http://schemas.openxmlformats.org/officeDocument/2006/relationships/hyperlink" Target="https://fasecolda.com/fasecolda/estadisticas-del-sector/resumen-ejecutivo/" TargetMode="External"/><Relationship Id="rId1" Type="http://schemas.openxmlformats.org/officeDocument/2006/relationships/hyperlink" Target="https://fasecolda.com/fasecolda/nosotros/" TargetMode="External"/><Relationship Id="rId6" Type="http://schemas.openxmlformats.org/officeDocument/2006/relationships/hyperlink" Target="https://fasecolda.com/fasecolda/estadisticas-del-sector/resumen-ejecutivo/" TargetMode="External"/><Relationship Id="rId5" Type="http://schemas.openxmlformats.org/officeDocument/2006/relationships/hyperlink" Target="https://fasecolda.com/fasecolda/estadisticas-del-sector/resumen-ejecutivo/" TargetMode="External"/><Relationship Id="rId4" Type="http://schemas.openxmlformats.org/officeDocument/2006/relationships/hyperlink" Target="http://www.fasecolda.com/index.php/fasecolda/estadisticas-del-sector/" TargetMode="External"/><Relationship Id="rId9" Type="http://schemas.openxmlformats.org/officeDocument/2006/relationships/hyperlink" Target="https://www.dane.gov.co/index.php/estadisticas-por-tema/precios-y-costos/indice-de-precios-al-consumidor-ipc/ipc-informacion-tecn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2252EA1D9A224FBBB011C0A4F6D727" ma:contentTypeVersion="7" ma:contentTypeDescription="Crear nuevo documento." ma:contentTypeScope="" ma:versionID="2a2ffe83234039fa2f921052b646ee29">
  <xsd:schema xmlns:xsd="http://www.w3.org/2001/XMLSchema" xmlns:xs="http://www.w3.org/2001/XMLSchema" xmlns:p="http://schemas.microsoft.com/office/2006/metadata/properties" xmlns:ns3="e8a69e0c-abfd-49a6-8edb-7cd39844ce9d" targetNamespace="http://schemas.microsoft.com/office/2006/metadata/properties" ma:root="true" ma:fieldsID="b8075984240141a1737072aa96ed8b4a" ns3:_="">
    <xsd:import namespace="e8a69e0c-abfd-49a6-8edb-7cd39844c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69e0c-abfd-49a6-8edb-7cd39844ce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4C5D8E-3775-478C-B42B-0F95594C8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69e0c-abfd-49a6-8edb-7cd39844c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9F0EA-1976-4844-BF85-8D816CD9F986}">
  <ds:schemaRefs>
    <ds:schemaRef ds:uri="http://schemas.openxmlformats.org/officeDocument/2006/bibliography"/>
  </ds:schemaRefs>
</ds:datastoreItem>
</file>

<file path=customXml/itemProps3.xml><?xml version="1.0" encoding="utf-8"?>
<ds:datastoreItem xmlns:ds="http://schemas.openxmlformats.org/officeDocument/2006/customXml" ds:itemID="{3512F88A-D4BC-42F0-8B5B-92E2B2758222}">
  <ds:schemaRefs>
    <ds:schemaRef ds:uri="http://schemas.microsoft.com/sharepoint/v3/contenttype/forms"/>
  </ds:schemaRefs>
</ds:datastoreItem>
</file>

<file path=customXml/itemProps4.xml><?xml version="1.0" encoding="utf-8"?>
<ds:datastoreItem xmlns:ds="http://schemas.openxmlformats.org/officeDocument/2006/customXml" ds:itemID="{CF974594-C1C9-4323-8CE9-9C78827D06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13252</Words>
  <Characters>72890</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Aon</Company>
  <LinksUpToDate>false</LinksUpToDate>
  <CharactersWithSpaces>85971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Guerra</dc:creator>
  <cp:keywords/>
  <dc:description/>
  <cp:lastModifiedBy>Nestor Guerra</cp:lastModifiedBy>
  <cp:revision>17</cp:revision>
  <dcterms:created xsi:type="dcterms:W3CDTF">2023-04-14T19:50:00Z</dcterms:created>
  <dcterms:modified xsi:type="dcterms:W3CDTF">2023-04-17T12:10:00Z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0x010100492252EA1D9A224FBBB011C0A4F6D727</vt:lpwstr>
  </property>
  <property fmtid="{D5CDD505-2E9C-101B-9397-08002B2CF9AE}" pid="3" name="TitusGUID">
    <vt:lpwstr>1ad67423-e9d3-4c1c-98d2-059b3716f6b0</vt:lpwstr>
  </property>
  <property fmtid="{D5CDD505-2E9C-101B-9397-08002B2CF9AE}" pid="4" name="AonClassification">
    <vt:lpwstr>ADC_class_200</vt:lpwstr>
  </property>
</Properties>
</file>