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0E194" w14:textId="77777777" w:rsidR="00D4404F" w:rsidRDefault="00EF3662" w:rsidP="00D4404F">
      <w:pPr>
        <w:widowControl w:val="0"/>
        <w:autoSpaceDE w:val="0"/>
        <w:autoSpaceDN w:val="0"/>
        <w:spacing w:after="0"/>
        <w:jc w:val="center"/>
        <w:rPr>
          <w:rFonts w:ascii="Tahoma" w:hAnsi="Tahoma" w:cs="Tahoma"/>
          <w:b/>
          <w:bCs/>
          <w:sz w:val="20"/>
          <w:szCs w:val="20"/>
        </w:rPr>
      </w:pPr>
      <w:r w:rsidRPr="00EF3662">
        <w:rPr>
          <w:rFonts w:ascii="Tahoma" w:hAnsi="Tahoma" w:cs="Tahoma"/>
          <w:b/>
          <w:bCs/>
          <w:sz w:val="20"/>
          <w:szCs w:val="20"/>
        </w:rPr>
        <w:t>UNIVERSIDAD DISTRITAL FRANCISCO JOSÉ DE CALDAS</w:t>
      </w:r>
    </w:p>
    <w:p w14:paraId="1E2BF4EF" w14:textId="2651AC5A" w:rsidR="00EF3662" w:rsidRPr="00EF3662" w:rsidRDefault="00EF3662" w:rsidP="00D4404F">
      <w:pPr>
        <w:widowControl w:val="0"/>
        <w:autoSpaceDE w:val="0"/>
        <w:autoSpaceDN w:val="0"/>
        <w:jc w:val="center"/>
        <w:rPr>
          <w:rFonts w:ascii="Tahoma" w:hAnsi="Tahoma" w:cs="Tahoma"/>
          <w:b/>
          <w:bCs/>
          <w:sz w:val="20"/>
          <w:szCs w:val="20"/>
        </w:rPr>
      </w:pPr>
      <w:r w:rsidRPr="00EF3662">
        <w:rPr>
          <w:rFonts w:ascii="Tahoma" w:hAnsi="Tahoma" w:cs="Tahoma"/>
          <w:b/>
          <w:bCs/>
          <w:sz w:val="20"/>
          <w:szCs w:val="20"/>
        </w:rPr>
        <w:t>CONVOCATORIA PÚBLICA N</w:t>
      </w:r>
      <w:r w:rsidR="00083A6C">
        <w:rPr>
          <w:rFonts w:ascii="Tahoma" w:hAnsi="Tahoma" w:cs="Tahoma"/>
          <w:b/>
          <w:bCs/>
          <w:sz w:val="20"/>
          <w:szCs w:val="20"/>
        </w:rPr>
        <w:t>o</w:t>
      </w:r>
      <w:r w:rsidRPr="00EF3662">
        <w:rPr>
          <w:rFonts w:ascii="Tahoma" w:hAnsi="Tahoma" w:cs="Tahoma"/>
          <w:b/>
          <w:bCs/>
          <w:sz w:val="20"/>
          <w:szCs w:val="20"/>
        </w:rPr>
        <w:t>. 0</w:t>
      </w:r>
      <w:r w:rsidR="00083A6C">
        <w:rPr>
          <w:rFonts w:ascii="Tahoma" w:hAnsi="Tahoma" w:cs="Tahoma"/>
          <w:b/>
          <w:bCs/>
          <w:sz w:val="20"/>
          <w:szCs w:val="20"/>
        </w:rPr>
        <w:t>0</w:t>
      </w:r>
      <w:r w:rsidR="00504D24">
        <w:rPr>
          <w:rFonts w:ascii="Tahoma" w:hAnsi="Tahoma" w:cs="Tahoma"/>
          <w:b/>
          <w:bCs/>
          <w:sz w:val="20"/>
          <w:szCs w:val="20"/>
        </w:rPr>
        <w:t>7</w:t>
      </w:r>
      <w:r w:rsidRPr="00EF3662">
        <w:rPr>
          <w:rFonts w:ascii="Tahoma" w:hAnsi="Tahoma" w:cs="Tahoma"/>
          <w:b/>
          <w:bCs/>
          <w:sz w:val="20"/>
          <w:szCs w:val="20"/>
        </w:rPr>
        <w:t xml:space="preserve"> DE 202</w:t>
      </w:r>
      <w:r w:rsidR="00504D24">
        <w:rPr>
          <w:rFonts w:ascii="Tahoma" w:hAnsi="Tahoma" w:cs="Tahoma"/>
          <w:b/>
          <w:bCs/>
          <w:sz w:val="20"/>
          <w:szCs w:val="20"/>
        </w:rPr>
        <w:t>5</w:t>
      </w:r>
    </w:p>
    <w:p w14:paraId="4017C830" w14:textId="682E9499" w:rsidR="00EF3662" w:rsidRPr="00EF3662" w:rsidRDefault="00EF3662" w:rsidP="00EF3662">
      <w:pPr>
        <w:keepNext/>
        <w:widowControl w:val="0"/>
        <w:tabs>
          <w:tab w:val="left" w:pos="1800"/>
        </w:tabs>
        <w:autoSpaceDE w:val="0"/>
        <w:autoSpaceDN w:val="0"/>
        <w:jc w:val="center"/>
        <w:outlineLvl w:val="0"/>
        <w:rPr>
          <w:rFonts w:ascii="Tahoma" w:hAnsi="Tahoma" w:cs="Tahoma"/>
          <w:b/>
          <w:bCs/>
          <w:caps/>
          <w:sz w:val="20"/>
          <w:szCs w:val="20"/>
        </w:rPr>
      </w:pPr>
      <w:bookmarkStart w:id="0" w:name="_Toc145691200"/>
      <w:r w:rsidRPr="00EF3662">
        <w:rPr>
          <w:rFonts w:ascii="Tahoma" w:hAnsi="Tahoma" w:cs="Tahoma"/>
          <w:b/>
          <w:bCs/>
          <w:caps/>
          <w:sz w:val="20"/>
          <w:szCs w:val="20"/>
        </w:rPr>
        <w:t xml:space="preserve">ANEXO </w:t>
      </w:r>
      <w:r w:rsidRPr="00EF3662">
        <w:rPr>
          <w:rFonts w:ascii="Tahoma" w:hAnsi="Tahoma" w:cs="Tahoma"/>
          <w:b/>
          <w:bCs/>
          <w:sz w:val="20"/>
          <w:szCs w:val="20"/>
        </w:rPr>
        <w:t>N</w:t>
      </w:r>
      <w:r w:rsidR="00254453">
        <w:rPr>
          <w:rFonts w:ascii="Tahoma" w:hAnsi="Tahoma" w:cs="Tahoma"/>
          <w:b/>
          <w:bCs/>
          <w:sz w:val="20"/>
          <w:szCs w:val="20"/>
        </w:rPr>
        <w:t>o</w:t>
      </w:r>
      <w:r w:rsidRPr="00EF3662">
        <w:rPr>
          <w:rFonts w:ascii="Tahoma" w:hAnsi="Tahoma" w:cs="Tahoma"/>
          <w:b/>
          <w:bCs/>
          <w:caps/>
          <w:sz w:val="20"/>
          <w:szCs w:val="20"/>
        </w:rPr>
        <w:t>. 9</w:t>
      </w:r>
      <w:bookmarkStart w:id="1" w:name="_Toc64318215"/>
      <w:r w:rsidRPr="00EF3662">
        <w:rPr>
          <w:rFonts w:ascii="Tahoma" w:hAnsi="Tahoma" w:cs="Tahoma"/>
          <w:b/>
          <w:bCs/>
          <w:caps/>
          <w:sz w:val="20"/>
          <w:szCs w:val="20"/>
        </w:rPr>
        <w:t xml:space="preserve"> ACEPTACIÓN DE CUMPLIMIENTO DE BUENAS PRáCTICAS AMBIENTALES</w:t>
      </w:r>
      <w:bookmarkEnd w:id="0"/>
      <w:bookmarkEnd w:id="1"/>
    </w:p>
    <w:p w14:paraId="289B1D5C" w14:textId="4BF863F6" w:rsidR="00EF3662" w:rsidRPr="00EF3662" w:rsidRDefault="00EF3662" w:rsidP="00EF3662">
      <w:pPr>
        <w:jc w:val="both"/>
        <w:rPr>
          <w:rFonts w:ascii="Tahoma" w:hAnsi="Tahoma" w:cs="Tahoma"/>
          <w:b/>
          <w:bCs/>
          <w:sz w:val="20"/>
          <w:szCs w:val="20"/>
        </w:rPr>
      </w:pPr>
      <w:r w:rsidRPr="00EF3662">
        <w:rPr>
          <w:rFonts w:ascii="Tahoma" w:eastAsia="Calibri" w:hAnsi="Tahoma" w:cs="Tahoma"/>
          <w:b/>
          <w:bCs/>
          <w:sz w:val="20"/>
          <w:szCs w:val="20"/>
          <w:lang w:eastAsia="ar-SA"/>
        </w:rPr>
        <w:t>1</w:t>
      </w:r>
      <w:r>
        <w:rPr>
          <w:rFonts w:ascii="Tahoma" w:eastAsia="Calibri" w:hAnsi="Tahoma" w:cs="Tahoma"/>
          <w:b/>
          <w:bCs/>
          <w:sz w:val="20"/>
          <w:szCs w:val="20"/>
          <w:lang w:eastAsia="ar-SA"/>
        </w:rPr>
        <w:t>.</w:t>
      </w:r>
      <w:r w:rsidRPr="00EF3662">
        <w:rPr>
          <w:rFonts w:ascii="Tahoma" w:eastAsia="Calibri" w:hAnsi="Tahoma" w:cs="Tahoma"/>
          <w:b/>
          <w:bCs/>
          <w:sz w:val="20"/>
          <w:szCs w:val="20"/>
          <w:lang w:eastAsia="ar-SA"/>
        </w:rPr>
        <w:t xml:space="preserve"> OBLIGACIONES, COMPROMISOS Y NORMATIVIDAD DE SG-SST Y SGA DEL CONTRATISTA</w:t>
      </w:r>
    </w:p>
    <w:p w14:paraId="61C209B8" w14:textId="77777777" w:rsidR="00EF3662" w:rsidRPr="00EF3662" w:rsidRDefault="00EF3662" w:rsidP="00EF3662">
      <w:pPr>
        <w:pStyle w:val="Prrafodelista"/>
        <w:numPr>
          <w:ilvl w:val="1"/>
          <w:numId w:val="5"/>
        </w:numPr>
        <w:rPr>
          <w:rFonts w:ascii="Tahoma" w:hAnsi="Tahoma" w:cs="Tahoma"/>
          <w:b/>
          <w:bCs/>
          <w:sz w:val="20"/>
          <w:szCs w:val="20"/>
          <w:lang w:val="es-CO"/>
        </w:rPr>
      </w:pPr>
      <w:r w:rsidRPr="00EF3662">
        <w:rPr>
          <w:rFonts w:ascii="Tahoma" w:hAnsi="Tahoma" w:cs="Tahoma"/>
          <w:b/>
          <w:bCs/>
          <w:sz w:val="20"/>
          <w:szCs w:val="20"/>
          <w:lang w:val="es-CO"/>
        </w:rPr>
        <w:t>INTRODUCCIÓN</w:t>
      </w:r>
    </w:p>
    <w:p w14:paraId="322714E2" w14:textId="6CEF71F7" w:rsidR="00EF3662" w:rsidRPr="00EF3662" w:rsidRDefault="00EF3662" w:rsidP="00EF3662">
      <w:pPr>
        <w:jc w:val="both"/>
        <w:rPr>
          <w:rFonts w:ascii="Tahoma" w:hAnsi="Tahoma" w:cs="Tahoma"/>
          <w:sz w:val="20"/>
          <w:szCs w:val="20"/>
        </w:rPr>
      </w:pPr>
      <w:r w:rsidRPr="00EF3662">
        <w:rPr>
          <w:rFonts w:ascii="Tahoma" w:hAnsi="Tahoma" w:cs="Tahoma"/>
          <w:sz w:val="20"/>
          <w:szCs w:val="20"/>
        </w:rPr>
        <w:t>Este manual es de obligatorio cumplimiento por parte de los contratistas y subcontratistas que trabajen en las obras de la Universidad Distrital Francisco José de Caldas, por lo cual deberán tener en cuenta lo contenido en él, al momento de calcular los costos para ofertar trabajos para la Universidad. Todas las organizaciones están compuestas por personas, siendo esté el activo más importante de toda institución, razón por la cual ahora con más fuerza las directivas son conscientes de la importancia de cuidar la salud de nuestros colaboradores y partes interesadas a través de la implantación del Sistema de Gestión Integral en Seguridad Industrial &amp; Salud Ocupacional (SISO) y Medo Ambiente, obteniendo beneficios como:</w:t>
      </w:r>
    </w:p>
    <w:p w14:paraId="20590370"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Minimizar los riesgos relevantes a salud, accidentes y otros por Seguridad Industrial e higiene ocupacional.</w:t>
      </w:r>
    </w:p>
    <w:p w14:paraId="11E5914B"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Prevención de demandas por efectos adversos sobre el personal externo o interno a la UFJC y sobre el medio ambiente.</w:t>
      </w:r>
    </w:p>
    <w:p w14:paraId="2F03A72A"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desempeño de las actividades y procesos dando como resultado la reducción de costos e incremento de la rentabilidad.</w:t>
      </w:r>
    </w:p>
    <w:p w14:paraId="3A30C396"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organización ante la comunidad y el mercado.</w:t>
      </w:r>
    </w:p>
    <w:p w14:paraId="7BCC1659"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Evitar retrasos o incumplimientos por falta o incapacidad de personal.</w:t>
      </w:r>
    </w:p>
    <w:p w14:paraId="25878261" w14:textId="35AFAD21" w:rsidR="00EF3662" w:rsidRPr="00D4404F" w:rsidRDefault="00EF3662" w:rsidP="00D54EDB">
      <w:pPr>
        <w:pStyle w:val="Prrafodelista"/>
        <w:numPr>
          <w:ilvl w:val="0"/>
          <w:numId w:val="6"/>
        </w:numPr>
        <w:spacing w:after="0"/>
        <w:rPr>
          <w:rFonts w:ascii="Tahoma" w:hAnsi="Tahoma" w:cs="Tahoma"/>
          <w:sz w:val="20"/>
          <w:szCs w:val="20"/>
          <w:lang w:val="es-CO"/>
        </w:rPr>
      </w:pPr>
      <w:r w:rsidRPr="00D4404F">
        <w:rPr>
          <w:rFonts w:ascii="Tahoma" w:hAnsi="Tahoma" w:cs="Tahoma"/>
          <w:sz w:val="20"/>
          <w:szCs w:val="20"/>
          <w:lang w:val="es-CO"/>
        </w:rPr>
        <w:t xml:space="preserve">Minimizar los impactos negativos hacia el medio ambiente. </w:t>
      </w:r>
    </w:p>
    <w:p w14:paraId="5AA1833A" w14:textId="77777777" w:rsidR="00EF3662" w:rsidRPr="00EF3662" w:rsidRDefault="00EF3662" w:rsidP="00D4404F">
      <w:pPr>
        <w:spacing w:before="240"/>
        <w:jc w:val="both"/>
        <w:rPr>
          <w:rFonts w:ascii="Tahoma" w:hAnsi="Tahoma" w:cs="Tahoma"/>
          <w:sz w:val="20"/>
          <w:szCs w:val="20"/>
        </w:rPr>
      </w:pPr>
      <w:r w:rsidRPr="00EF3662">
        <w:rPr>
          <w:rFonts w:ascii="Tahoma" w:hAnsi="Tahoma" w:cs="Tahoma"/>
          <w:sz w:val="20"/>
          <w:szCs w:val="20"/>
        </w:rPr>
        <w:t xml:space="preserve">Los contratistas son responsables de la divulgación y del cumplimiento de dichos procedimientos con sus colaboradores. </w:t>
      </w:r>
    </w:p>
    <w:p w14:paraId="48B7F14C" w14:textId="6B67A663" w:rsidR="00EF3662" w:rsidRPr="00EF3662" w:rsidRDefault="00EF3662" w:rsidP="00EF3662">
      <w:pPr>
        <w:jc w:val="both"/>
        <w:rPr>
          <w:rFonts w:ascii="Tahoma" w:hAnsi="Tahoma" w:cs="Tahoma"/>
          <w:sz w:val="20"/>
          <w:szCs w:val="20"/>
        </w:rPr>
      </w:pPr>
      <w:r w:rsidRPr="00EF3662">
        <w:rPr>
          <w:rFonts w:ascii="Tahoma" w:hAnsi="Tahoma" w:cs="Tahoma"/>
          <w:sz w:val="20"/>
          <w:szCs w:val="20"/>
        </w:rPr>
        <w:t>La aplicación de los procedimientos detallados en este manual no excluye al contratista de la actualización permanente de los requisitos legales aplicables y cumplimiento de la legislación vigente en el país, así como de su responsabilidad directa ante cualquier situación de riesgo que pueda presentarse con el personal a su cargo.</w:t>
      </w:r>
    </w:p>
    <w:p w14:paraId="42366530" w14:textId="026712B7"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 OBJETIVOS </w:t>
      </w:r>
    </w:p>
    <w:p w14:paraId="69BDF32E" w14:textId="47459593"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1.2.1 OBJETIVO GENERAL </w:t>
      </w:r>
    </w:p>
    <w:p w14:paraId="731A7534" w14:textId="538810DB" w:rsidR="00EF3662" w:rsidRPr="00EF3662" w:rsidRDefault="00EF3662" w:rsidP="00EF3662">
      <w:pPr>
        <w:jc w:val="both"/>
        <w:rPr>
          <w:rFonts w:ascii="Tahoma" w:hAnsi="Tahoma" w:cs="Tahoma"/>
          <w:sz w:val="20"/>
          <w:szCs w:val="20"/>
        </w:rPr>
      </w:pPr>
      <w:r w:rsidRPr="00EF3662">
        <w:rPr>
          <w:rFonts w:ascii="Tahoma" w:hAnsi="Tahoma" w:cs="Tahoma"/>
          <w:sz w:val="20"/>
          <w:szCs w:val="20"/>
        </w:rPr>
        <w:t>Establecer las normas y procedimientos de Seguridad Industrial, Higiene, Salud Ocupacional y Medio Ambiente que deben cumplir y poner en práctica las empresas contratistas y subcontratistas que realizan obras para la Universidad Distrital Francisco José de Caldas – UDFJC, cumpliendo con la Ley de la República de Colombia.</w:t>
      </w:r>
    </w:p>
    <w:p w14:paraId="3C1A98B4" w14:textId="25FB73FB" w:rsidR="00EF3662" w:rsidRPr="00EF3662" w:rsidRDefault="00EF3662" w:rsidP="00EF3662">
      <w:pPr>
        <w:jc w:val="both"/>
        <w:rPr>
          <w:rFonts w:ascii="Tahoma" w:eastAsia="Calibri" w:hAnsi="Tahoma" w:cs="Tahoma"/>
          <w:sz w:val="20"/>
          <w:szCs w:val="20"/>
          <w:lang w:eastAsia="ar-SA"/>
        </w:rPr>
      </w:pPr>
      <w:r w:rsidRPr="00EF3662">
        <w:rPr>
          <w:rFonts w:ascii="Tahoma" w:hAnsi="Tahoma" w:cs="Tahoma"/>
          <w:b/>
          <w:bCs/>
          <w:sz w:val="20"/>
          <w:szCs w:val="20"/>
        </w:rPr>
        <w:t xml:space="preserve">1.2.2 OBJETIVOS ESPECÍFICOS </w:t>
      </w:r>
    </w:p>
    <w:p w14:paraId="636105C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Determinar los recursos de Seguridad Industrial, Higiene, Salud Ocupacional y Medio Ambiente que deben tener las empresas contratistas, para realizar trabajos al interior de la institución. </w:t>
      </w:r>
    </w:p>
    <w:p w14:paraId="1C26D18C"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un control permanente sobre los requisitos de afiliación al sistema de Seguridad Industrial social de todo el personal de las empresas contratistas, manteniendo informadas a todas partes interesadas de la institución. </w:t>
      </w:r>
    </w:p>
    <w:p w14:paraId="1841BB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los estándares de Seguridad Industrial aplicables para disminuir los factores de riesgo ocupacionales que puedan propiciar la ocurrencia de accidentes y enfermedades laborales o que puedan generar daños a la propiedad y al medio ambiente. </w:t>
      </w:r>
    </w:p>
    <w:p w14:paraId="2CB6ACF4"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Unificar las buenas prácticas de Seguridad Industrial, Higiene, Salud Ocupacional y Medio Ambiente en las labores y actividades desarrolladas por las empresas contratistas para la UDFJC. </w:t>
      </w:r>
    </w:p>
    <w:p w14:paraId="1A639A75" w14:textId="3A9D368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Comprometer a las empresas contratistas, subcontratistas y sus colaboradores con el cumplimiento de los procedimientos y normas descritos en este manual. </w:t>
      </w:r>
    </w:p>
    <w:p w14:paraId="1C67DEBB" w14:textId="3C41CAC9"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lastRenderedPageBreak/>
        <w:t xml:space="preserve">1.2.3 ALCANCE </w:t>
      </w:r>
    </w:p>
    <w:p w14:paraId="57D87F2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Este manual debe ser aceptado, divulgado y aplicado por los contratistas que desarrollen procesos de construcción, adecuación y demás proyectos de gran escala en cualquiera de las sedes de la Universidad. </w:t>
      </w:r>
    </w:p>
    <w:p w14:paraId="6E1E5CF4" w14:textId="430D508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Así mismo, este manual abarca los temas relacionados con la promoción de la salud, la prevención de riesgos laborales, la higiene ocupacional, la preservación del medio ambiente y la calidad de las obras. </w:t>
      </w:r>
    </w:p>
    <w:p w14:paraId="5A6226E0" w14:textId="70D6CD70"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1.2.4 POLÍTICAS</w:t>
      </w:r>
    </w:p>
    <w:p w14:paraId="2564EAFE" w14:textId="7B943AB2"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1.2.4.1 POLÍTICA AMBIENTAL </w:t>
      </w:r>
    </w:p>
    <w:p w14:paraId="79FD0EBD" w14:textId="1498C756" w:rsidR="00EF3662" w:rsidRPr="00EF3662" w:rsidRDefault="00EF3662" w:rsidP="00EF3662">
      <w:pPr>
        <w:jc w:val="both"/>
        <w:rPr>
          <w:rFonts w:ascii="Tahoma" w:hAnsi="Tahoma" w:cs="Tahoma"/>
          <w:sz w:val="20"/>
          <w:szCs w:val="20"/>
        </w:rPr>
      </w:pPr>
      <w:r w:rsidRPr="00EF3662">
        <w:rPr>
          <w:rFonts w:ascii="Tahoma" w:hAnsi="Tahoma" w:cs="Tahoma"/>
          <w:sz w:val="20"/>
          <w:szCs w:val="20"/>
        </w:rPr>
        <w:t>La Universidad Distrital Francisco José de Caldas, se compromete a incorporar la ética ambiental a todas las actividades docentes, investigativas y de servicios desarrolladas en sus diferentes sedes, para hacerlas compatibles con la protección del medio ambiente en concordancia con su actividad visional y misional; con este objetivo ha decidido adoptar el Sistema de Gestión Ambiental –SGA-.</w:t>
      </w:r>
    </w:p>
    <w:p w14:paraId="27C77F04" w14:textId="009CA5F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b/>
          <w:bCs/>
          <w:sz w:val="20"/>
          <w:szCs w:val="20"/>
          <w:lang w:eastAsia="ar-SA"/>
        </w:rPr>
        <w:t>1.2.4.2 RESPONSABILIDADES DEL CONTRATISTA</w:t>
      </w:r>
    </w:p>
    <w:p w14:paraId="334A4EBB" w14:textId="4423DB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Cumplir con los requisitos legales vigentes en el país en materia de S&amp;SO y ambiental y los contenidos en el presente manual, además de los que UDFJC suscriba dentro del respectivo contrato con las empresas contratistas. </w:t>
      </w:r>
    </w:p>
    <w:p w14:paraId="5A1F603A" w14:textId="2EA2D80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Las empresas contratistas deberán presentar al supervisor del contrato de la UDFJC el Plan Básico Legal de S&amp;SO, el cual se compone de: </w:t>
      </w:r>
    </w:p>
    <w:p w14:paraId="308883C0" w14:textId="3845B1D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Sistema de Gestión de la Seguridad y Salud en El trabajo antes conocido como Programa de Salud Ocupacional firmado por el representante legal de la empresa contratista y por un profesional en S&amp;SO con licencia en Salud Ocupacional vigente. </w:t>
      </w:r>
    </w:p>
    <w:p w14:paraId="44E23D23" w14:textId="64C3B11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Matriz de peligros actualizada y de acuerdo a las actividades que se irán a desarrollar en el objeto del contrato suscrito entre el contratista y la UDFJC. </w:t>
      </w:r>
    </w:p>
    <w:p w14:paraId="3F309D35" w14:textId="426E679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Comité Paritario de Salud Ocupacional (COPASST) o Vigía de Salud Ocupacional según sea el caso y deberá permanecer vigente. Mensualmente la empresa contratista deberá presentar a la supervisión del contrato las actas de reunión del COPASST o del vigía de Salud Ocupacional, en donde se evidencie la implementación del programa de salud ocupacional, el seguimiento a las mejoras del sistema de Salud Ocupacional y el compromiso gerencial de la empresa contratista.</w:t>
      </w:r>
    </w:p>
    <w:p w14:paraId="2B58D3F4" w14:textId="208A208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Comité De Convivencia de acuerdo a la Resolución 652 y 1356 de 2012; el contratista deberá mantener activo y vigente dicho comité y mantener las actas que así lo demuestren. </w:t>
      </w:r>
    </w:p>
    <w:p w14:paraId="5911A759" w14:textId="6E0F4FE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Dar cumplimiento al reglamento de higiene, Seguridad y Salud Ocupacional de la Universidad. </w:t>
      </w:r>
    </w:p>
    <w:p w14:paraId="6A33B23F" w14:textId="5C796832"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sz w:val="20"/>
          <w:szCs w:val="20"/>
          <w:lang w:eastAsia="es-ES_tradnl"/>
        </w:rPr>
        <w:t xml:space="preserve">En el manejo de la gestión ambiental el contratista debe comprometerse a cumplir las directrices que existen en las obras sobre las actividades de: </w:t>
      </w:r>
    </w:p>
    <w:p w14:paraId="5C49F7F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Manejo de residuos o desechos (separación en la fuente, almacenamiento). </w:t>
      </w:r>
    </w:p>
    <w:p w14:paraId="1CB9EFAF"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Uso racional de los recursos agua y energía. </w:t>
      </w:r>
    </w:p>
    <w:p w14:paraId="242CCE37"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Vertimientos. </w:t>
      </w:r>
    </w:p>
    <w:p w14:paraId="65EFCBF3"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Orden y aseo.</w:t>
      </w:r>
    </w:p>
    <w:p w14:paraId="3B701D6B"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Control de emisiones atmosféricas. </w:t>
      </w:r>
    </w:p>
    <w:p w14:paraId="57255A2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Manejo adecuado de productos químicos. </w:t>
      </w:r>
    </w:p>
    <w:p w14:paraId="4F01550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Plan de Manejo de tránsito cuando le aplique. </w:t>
      </w:r>
    </w:p>
    <w:p w14:paraId="0128B25C"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Protección de la fauna y la flora de especies existente en la obra. </w:t>
      </w:r>
    </w:p>
    <w:p w14:paraId="114F36B6" w14:textId="77777777" w:rsidR="00EF3662" w:rsidRPr="00EF3662" w:rsidRDefault="00EF3662" w:rsidP="00EF3662">
      <w:pPr>
        <w:jc w:val="both"/>
        <w:rPr>
          <w:rFonts w:ascii="Tahoma" w:eastAsia="Calibri" w:hAnsi="Tahoma" w:cs="Tahoma"/>
          <w:sz w:val="20"/>
          <w:szCs w:val="20"/>
          <w:lang w:eastAsia="ar-SA"/>
        </w:rPr>
      </w:pPr>
    </w:p>
    <w:p w14:paraId="445537E4" w14:textId="3E2677AD"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b/>
          <w:bCs/>
          <w:sz w:val="20"/>
          <w:szCs w:val="20"/>
          <w:lang w:eastAsia="ar-SA"/>
        </w:rPr>
        <w:t>1.2.4.3 RESPONSABILIDAD SOBRE EL CONTRATO POR PARTE DEL CONTRATISTA</w:t>
      </w:r>
    </w:p>
    <w:p w14:paraId="10239B96" w14:textId="64C9EF6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es-ES_tradnl"/>
        </w:rPr>
        <w:lastRenderedPageBreak/>
        <w:t xml:space="preserve">El presente documento hace parte integral del contrato y se presentará en los diferentes </w:t>
      </w:r>
      <w:r w:rsidRPr="00EF3662">
        <w:rPr>
          <w:rFonts w:ascii="Tahoma" w:hAnsi="Tahoma" w:cs="Tahoma"/>
          <w:sz w:val="20"/>
          <w:szCs w:val="20"/>
        </w:rPr>
        <w:t xml:space="preserve">los estudios previos </w:t>
      </w:r>
      <w:r w:rsidRPr="00EF3662">
        <w:rPr>
          <w:rFonts w:ascii="Tahoma" w:eastAsia="Calibri" w:hAnsi="Tahoma" w:cs="Tahoma"/>
          <w:sz w:val="20"/>
          <w:szCs w:val="20"/>
          <w:lang w:eastAsia="es-ES_tradnl"/>
        </w:rPr>
        <w:t>de la cotización. Es responsabilidad del contratista calcular los costos para asegurar la implementación de este instructivo, haciendo énfasis en los procedimientos de Seguridad y Salud Ocupacional, ambiental y calidad que le apliquen con base en los riegos del oficio o proceso para el que este licitando; estos costos deberán ser incluidos en dicha propuesta.</w:t>
      </w:r>
    </w:p>
    <w:p w14:paraId="4C556D62" w14:textId="31F22E2B"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 xml:space="preserve">Previo al inicio de las actividades, los contratistas deberán presentar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de la Universidad FJC los siguientes documentos: </w:t>
      </w:r>
    </w:p>
    <w:p w14:paraId="0452254B"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Afiliaciones o planillas de pago a la seguridad social integral. </w:t>
      </w:r>
    </w:p>
    <w:p w14:paraId="5E6D55CF"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Certificado de aptitud médica vigente y apropiado de acuerdo al tipo de riesgo o actividad, especialmente si se trata de trabajos en alturas. </w:t>
      </w:r>
    </w:p>
    <w:p w14:paraId="43271783" w14:textId="38CCEB01" w:rsidR="00EF3662" w:rsidRPr="00D4404F" w:rsidRDefault="00EF3662" w:rsidP="00DA70C9">
      <w:pPr>
        <w:pStyle w:val="Prrafodelista"/>
        <w:numPr>
          <w:ilvl w:val="0"/>
          <w:numId w:val="8"/>
        </w:numPr>
        <w:spacing w:after="0"/>
        <w:ind w:left="714" w:hanging="357"/>
        <w:rPr>
          <w:rFonts w:ascii="Tahoma" w:hAnsi="Tahoma" w:cs="Tahoma"/>
          <w:sz w:val="20"/>
          <w:szCs w:val="20"/>
          <w:lang w:val="es-CO"/>
        </w:rPr>
      </w:pPr>
      <w:r w:rsidRPr="00D4404F">
        <w:rPr>
          <w:rFonts w:ascii="Tahoma" w:hAnsi="Tahoma" w:cs="Tahoma"/>
          <w:sz w:val="20"/>
          <w:szCs w:val="20"/>
          <w:lang w:val="es-CO"/>
        </w:rPr>
        <w:t xml:space="preserve">Exámenes médicos pre-empleo, los cuales deberán ser realizados por médicos especialistas en Salud Ocupacional con licencia vigente. Estos exámenes correrán por cuenta del contratista, dando cumplimiento a la Resolución 1918 del 5 de junio de 2009. </w:t>
      </w:r>
    </w:p>
    <w:p w14:paraId="07ACC211" w14:textId="32E1E2BE" w:rsidR="00EF3662" w:rsidRPr="00EF3662" w:rsidRDefault="00EF3662" w:rsidP="00D4404F">
      <w:pPr>
        <w:spacing w:before="240"/>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En caso de requerirse por el médico que practique la evaluación médica de pre-empleo, el contratista deberá realizar exámenes médicos complementarios para tareas de alto riesgo (trabajos en alturas, excavaciones que superen los 1,5 m, espacios confinados, trabajos en caliente, trabajos con energías peligrosas) o para actividades en donde los factores de riesgo presentes en los puestos de trabajo superen los límites permisibles. </w:t>
      </w:r>
    </w:p>
    <w:p w14:paraId="03218AC2" w14:textId="1EC4529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NOTA:</w:t>
      </w:r>
      <w:r w:rsidRPr="00EF3662">
        <w:rPr>
          <w:rFonts w:ascii="Tahoma" w:hAnsi="Tahoma" w:cs="Tahoma"/>
          <w:sz w:val="20"/>
          <w:szCs w:val="20"/>
        </w:rPr>
        <w:t xml:space="preserve"> El certificado de aptitud médica deberá decir el oficio para el cual está avalado el colaborador, especialmente para los trabajos en alturas y espacios confinados y demás; es potestad del médico practicante de la evaluación, determinar el tipo de exámenes a realizar en cada caso. Por ningún motivo se deberán entregar resultados de exámenes médicos ni elementos propios de la historia clínica ocupacional del colaborador.</w:t>
      </w:r>
    </w:p>
    <w:p w14:paraId="59E797EB" w14:textId="6CA03959"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 persona encargada de administrar el contrato por parte de la empresa contratista deberá asistir a la reunión de inicio de obra, en donde se entregará y socializará este documento y previo al inicio de actividades a ejecutar por la empresa contratista, se deberá dejar firmada el acta de aceptación y compromiso de cumplimiento de las normas contenidas en este instructivo. </w:t>
      </w:r>
    </w:p>
    <w:p w14:paraId="5AA92B09" w14:textId="59C4FFC5"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1.2.4.4 INDUCCIÓN EN SEGURIDAD &amp; SALUD OCUPACIONAL Y MEDIO AMBIENTE POR PARTE DE LA UNIVERSIDAD </w:t>
      </w:r>
    </w:p>
    <w:p w14:paraId="3468A1D1" w14:textId="75950CE4" w:rsidR="00EF3662" w:rsidRPr="00EF3662" w:rsidRDefault="00EF3662" w:rsidP="00EF3662">
      <w:pPr>
        <w:jc w:val="both"/>
        <w:rPr>
          <w:rFonts w:ascii="Tahoma" w:hAnsi="Tahoma" w:cs="Tahoma"/>
          <w:sz w:val="20"/>
          <w:szCs w:val="20"/>
        </w:rPr>
      </w:pPr>
      <w:r w:rsidRPr="00EF3662">
        <w:rPr>
          <w:rFonts w:ascii="Tahoma" w:hAnsi="Tahoma" w:cs="Tahoma"/>
          <w:sz w:val="20"/>
          <w:szCs w:val="20"/>
        </w:rPr>
        <w:t>Antes de iniciar sus labores, el personal que ingresa a la obra como contratista o subcontratista, deberá asistir a la inducción de Seguridad y salud ocupacional y medio ambiente, la cual será requisito para poder laborar al interior de la sede o donde se realice la obra. Los registros de asistencia se conservarán en los archivos de cada proyecto.</w:t>
      </w:r>
    </w:p>
    <w:p w14:paraId="0C985902" w14:textId="721C8F58"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1.2.4.5 REGLAS GENERALES DE TRABAJO PARA CONTRATISTAS/ SUBCONTRATISTAS Y SUS EMPLEADOS.</w:t>
      </w:r>
    </w:p>
    <w:p w14:paraId="4B9B58E0"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reglas, normas y estándares de Seguridad y Salud Ocupacional y medio ambiente en este procedimiento están diseñadas para ayudar a desempeñar los deberes minimizando los riesgos de accidentes, enfermedades de origen profesional e impactos al medio ambiente; estas deben ser cumplidas en todo momento como condición de empleo. El incumplimiento de éstas se considera como una falta disciplinaria grave que atenta contra la Política integral y deberá ser sancionada según lo establezca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w:t>
      </w:r>
    </w:p>
    <w:p w14:paraId="11F81B59" w14:textId="4CB4215F"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En los casos en que un colaborador sea retirado de la obra por faltas reiterativas o por una causa considerada como grave desde lo establecido por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esta persona no podrá ser reubicada en otro proyecto de que se ejecute con la Universidad Distrital. </w:t>
      </w:r>
    </w:p>
    <w:p w14:paraId="3EB6033B" w14:textId="357123D6"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1.2.4.6 OBLIGACIONES PARA LOS COLABORADORES DE LAS EMPRESAS CONTRATISTAS Y SUS SUBCONTRATISTAS: </w:t>
      </w:r>
    </w:p>
    <w:p w14:paraId="063561E5" w14:textId="507898E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Recibir inducción sobre normas de S&amp;SO y medio ambiente por parte de la Universidad Distrital.</w:t>
      </w:r>
    </w:p>
    <w:p w14:paraId="48F94FE7"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Ingresar por la portería indicada por la Universidad en cada una de las sedes e identificarse como el contratista. </w:t>
      </w:r>
    </w:p>
    <w:p w14:paraId="54DBF25C" w14:textId="3D8F307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Permitir la requisa de bolsos, maletines y paquetes por parte del personal de Vigilancia contratado por la Universidad.</w:t>
      </w:r>
    </w:p>
    <w:p w14:paraId="14EDA27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Usar ropa de trabajo adecuada (usar camisas que cubran los hombros y el torso, pantalones largos y zapatos acordes con el tipo de riesgo) y todos los elementos de protección según sea el caso. </w:t>
      </w:r>
    </w:p>
    <w:p w14:paraId="4176FC8A" w14:textId="3943D8F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Diseñar, instalar, conservar, respetar y acatar la demarcación de tránsito vehicular y peatonal, las zonas de trabajo y de riesgo, las señales preventivas, reglamentarias e informativas dispuestas en cada proyecto, para advertir posibles riesgos en los lugares de trabajo y disminuir así posibles accidentes y enfermedades profesionales. </w:t>
      </w:r>
    </w:p>
    <w:p w14:paraId="2FC8ACD3" w14:textId="7AE766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Informar al área de SG-SST sobre la existencia de riesgos presentes en los lugares de trabajo, la ocurrencia de accidentes e incidentes durante la ejecución del trabajo. </w:t>
      </w:r>
    </w:p>
    <w:p w14:paraId="118BAF81" w14:textId="1A4E76BF" w:rsidR="00EF3662" w:rsidRPr="00EF3662" w:rsidRDefault="00EF3662" w:rsidP="00EF3662">
      <w:pPr>
        <w:jc w:val="both"/>
        <w:rPr>
          <w:rFonts w:ascii="Tahoma" w:hAnsi="Tahoma" w:cs="Tahoma"/>
          <w:sz w:val="20"/>
          <w:szCs w:val="20"/>
        </w:rPr>
      </w:pPr>
      <w:r w:rsidRPr="00EF3662">
        <w:rPr>
          <w:rFonts w:ascii="Tahoma" w:eastAsia="Calibri" w:hAnsi="Tahoma" w:cs="Tahoma"/>
          <w:sz w:val="20"/>
          <w:szCs w:val="20"/>
          <w:lang w:eastAsia="ar-SA"/>
        </w:rPr>
        <w:t xml:space="preserve">En caso de presentarse un accidente de trabajo, el contratista es el responsable de la atención médica del accidentado, de la investigación del evento y del posterior reporte del presunto AT a la ARL; El contratista deberá suministrar al área SG-SST de la Universidad Distrital copia de la investigación, del reporte del presunto accidente de trabajo y de la(s) incapacidad(es) que sobrevenga(n) por dicho evento para ser archivadas en la carpeta del contrato, la empresa contratista deberá tomar las acciones correctivas para evitar recurrencia de este tipo de eventos. Res. 1401 de mayo de 2007 “Investigación de incidentes y accidentes de trabajo”. </w:t>
      </w:r>
    </w:p>
    <w:p w14:paraId="2E9E2C59" w14:textId="4F2E2E2A"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1.2.4.7 REQUISITOS AMBIENTALES PARA LAS OBRAS EJECUTADAS POR LA DIVISIÓN DE RECURSOS FÍSICOS UNIVERSIDAD DISTRITAL FRANCISCO JOSÉ DE CALDAS</w:t>
      </w:r>
    </w:p>
    <w:p w14:paraId="09B4390F" w14:textId="39ADE49D" w:rsidR="00EF3662" w:rsidRPr="00EF3662" w:rsidRDefault="00EF3662" w:rsidP="00EF3662">
      <w:pPr>
        <w:jc w:val="both"/>
        <w:rPr>
          <w:rFonts w:ascii="Tahoma" w:hAnsi="Tahoma" w:cs="Tahoma"/>
          <w:sz w:val="20"/>
          <w:szCs w:val="20"/>
        </w:rPr>
      </w:pPr>
      <w:r w:rsidRPr="00EF3662">
        <w:rPr>
          <w:rFonts w:ascii="Tahoma" w:hAnsi="Tahoma" w:cs="Tahoma"/>
          <w:sz w:val="20"/>
          <w:szCs w:val="20"/>
        </w:rPr>
        <w:t>La UDFJC, como responsable de la administración, planeación, organización de los bienes de la Universidad, así como de la dirección y control de las actividades y programas conducentes a la adecuada prestación de servicios generales que requiera la institución, se permite generar el presente documento, en el cual se contempla la información ambiental legal que se debe tener en cuenta a la hora de iniciar cualquier tipo de obra civil por parte de terceros.</w:t>
      </w:r>
    </w:p>
    <w:p w14:paraId="5BB57A0B" w14:textId="5F282F54" w:rsidR="00EF3662" w:rsidRPr="00EF3662" w:rsidRDefault="00EF3662" w:rsidP="00EF3662">
      <w:pPr>
        <w:jc w:val="both"/>
        <w:rPr>
          <w:rFonts w:ascii="Tahoma" w:hAnsi="Tahoma" w:cs="Tahoma"/>
          <w:sz w:val="20"/>
          <w:szCs w:val="20"/>
        </w:rPr>
      </w:pPr>
      <w:r w:rsidRPr="00EF3662">
        <w:rPr>
          <w:rFonts w:ascii="Tahoma" w:hAnsi="Tahoma" w:cs="Tahoma"/>
          <w:sz w:val="20"/>
          <w:szCs w:val="20"/>
        </w:rPr>
        <w:t>Con el presente documento, se pretende estandarizar los requerimientos de tipo ambiental que se deben tener en cuenta en cualquier obra nueva, de adecuación, modificación, ampliación y demás que se realicen en la universidad y que estén a cargo de la UDFJC, mediante el cumplimiento la Política Ambiental de la Universidad Distrital Francisco José de Caldas, aprobada mediante la Resolución 474 de 2015, donde se establece la política del Subsistema de Gestión Ambiental o aquella que modifique o sustituya y la Resolución 300 de 2015: Por medio del cual se aprueba y adoptan las Directivas Ambientales Institucionales para la Universidad Distrital Francisco José de Caldas.</w:t>
      </w:r>
    </w:p>
    <w:p w14:paraId="1B29F5C7" w14:textId="23AC909E"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de conformidad al Decreto Ley 2811 de 1974, por medio del cual se dicta el Código Nacional de Recursos Naturales Renovables y de Protección al Medio Ambiente, el Estado y los particulares deben participar en la preservación y manejo de los recursos naturales renovables, y la Ley 99 del 1993, por la cual se crea el Ministerio del Medio Ambiente, se reordena el Sector Público encargado de la gestión y conservación del medio ambiente, y los recursos naturales renovables, se organiza el Sistema Nacional Ambiental SINA, y se dictan otras disposiciones y se establece la política ambiental nacional para la conservación de los recursos naturales renovables. </w:t>
      </w:r>
    </w:p>
    <w:p w14:paraId="615E0E8C" w14:textId="2E34D4D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cosas así, todos los proyectos deben tener una clara identificación de los impactos ambientales que se generen en el desarrollo del mismo, adicionalmente se deben establecer los controles necesarios para su mitigación. De acuerdo a las características del proyecto y se deben tramitar las licencias y permisos necesarios para el desarrollo del mismo.  </w:t>
      </w:r>
    </w:p>
    <w:p w14:paraId="554036D9" w14:textId="3BD614F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1.2.4.8 USO EFICIENTE DE AGUAS</w:t>
      </w:r>
    </w:p>
    <w:p w14:paraId="5942941E" w14:textId="1EEF5845"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En el desarrollo de proyectos estructurales en la Universidad, se debe garantizar la incorporación de sistemas de aprovechamiento y/o reúso de aguas (origen superficial, subterráneo o lluvias) en el desarrollo de sus diferentes actividades.</w:t>
      </w:r>
    </w:p>
    <w:p w14:paraId="6A393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Para garantizar el funcionamiento de este tipo de sistemas se deben contemplar los componentes relacionados con la captación, recolección, interceptor y almacenamiento, con lo cual se logrará garantizar que el agua proveniente de la lluvia puede ser utilizada en actividades relacionadas con:</w:t>
      </w:r>
    </w:p>
    <w:p w14:paraId="2FE7641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Descarga de sanitarios, lavado de pisos y riego de zonas verdes (Incorporando los tratamientos necesarios para que el agua, no afecte las instalaciones hidrosanitarias de la edificación, ni la salud pública).</w:t>
      </w:r>
    </w:p>
    <w:p w14:paraId="7B7898A2" w14:textId="5F1A114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5C84883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373 de 1997 (Artículo 5. </w:t>
      </w:r>
      <w:r w:rsidRPr="00EF3662">
        <w:rPr>
          <w:rFonts w:ascii="Tahoma" w:eastAsia="Calibri" w:hAnsi="Tahoma" w:cs="Tahoma"/>
          <w:i/>
          <w:sz w:val="20"/>
          <w:szCs w:val="20"/>
          <w:lang w:eastAsia="ar-SA"/>
        </w:rPr>
        <w:t>Reúso obligatorio del agua</w:t>
      </w:r>
      <w:r w:rsidRPr="00EF3662">
        <w:rPr>
          <w:rFonts w:ascii="Tahoma" w:eastAsia="Calibri" w:hAnsi="Tahoma" w:cs="Tahoma"/>
          <w:sz w:val="20"/>
          <w:szCs w:val="20"/>
          <w:lang w:eastAsia="ar-SA"/>
        </w:rPr>
        <w:t>): Por la cual se establece el programa para el uso eficiente y ahorro del agua por parte del Ministerio de Ambiente y Desarrollo Sostenible.</w:t>
      </w:r>
    </w:p>
    <w:p w14:paraId="6369BE0E"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3102 de 1997, expedido por el Presidente de la Republica, reglamenta el artículo 15 de la Ley 373 de 1997, en relación con la instalación de equipos, sistemas e implementos de bajo consumo de agua.</w:t>
      </w:r>
    </w:p>
    <w:p w14:paraId="09354981" w14:textId="0616A6B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CRA 726 de 2015, en su artículo 3, la Comisión de Regulación de Agua Potable y Saneamiento Básico, adopta medidas para promover el uso eficiente y el ahorro del agua potable, así como para desincentivar su consumo excesivo.</w:t>
      </w:r>
    </w:p>
    <w:p w14:paraId="423496EC" w14:textId="2E05A77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1.2.4.9 AGUAS VERTIMIENTOS</w:t>
      </w:r>
    </w:p>
    <w:p w14:paraId="768EA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Cuando se realice la instalación de redes sanitarias, que provengan de áreas que generen un vertimiento de agua residual no doméstica, se deberán contemplar dispositivos para realizar previo tratamiento.</w:t>
      </w:r>
    </w:p>
    <w:p w14:paraId="2DC5AC90" w14:textId="29F69843" w:rsidR="00EF3662" w:rsidRPr="00EF3662" w:rsidRDefault="00EF3662" w:rsidP="00EF3662">
      <w:pPr>
        <w:jc w:val="both"/>
        <w:rPr>
          <w:rFonts w:ascii="Tahoma" w:hAnsi="Tahoma" w:cs="Tahoma"/>
          <w:sz w:val="20"/>
          <w:szCs w:val="20"/>
        </w:rPr>
      </w:pPr>
      <w:r w:rsidRPr="00EF3662">
        <w:rPr>
          <w:rFonts w:ascii="Tahoma" w:hAnsi="Tahoma" w:cs="Tahoma"/>
          <w:sz w:val="20"/>
          <w:szCs w:val="20"/>
        </w:rPr>
        <w:t>No se debe realizar ningún tipo de vertimiento al sistema de alcantarillado público derivado del desarrollo del contrato, en caso de generar aguas con presencia de contaminantes, será responsabilidad del contratista su manejo y disposición final dejando indemne a la Universidad Distrital.</w:t>
      </w:r>
    </w:p>
    <w:p w14:paraId="1379E6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3957 DE 2009, de la Secretaría Distrital de Ambiente, por la cual se establece la norma técnica, para el control y manejo de los vertimientos realizados a la red de alcantarillado público en el Distrito Capital.</w:t>
      </w:r>
    </w:p>
    <w:p w14:paraId="468052B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3956 DE 2009, de la Secretaría Distrital de Ambiente, Por la cual se establece la norma técnica, para el control y manejo de los vertimientos realizados al recurso hídrico en el Distrito Capital.</w:t>
      </w:r>
    </w:p>
    <w:p w14:paraId="19D5AB9E" w14:textId="743C0ADE"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7D848511" w14:textId="3E79E042"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1.2.4.10 USO EFICIENTE DE LA ENERGÍA</w:t>
      </w:r>
    </w:p>
    <w:p w14:paraId="5A739EAE" w14:textId="649D1652" w:rsidR="00EF3662" w:rsidRPr="00EF3662" w:rsidRDefault="00EF3662" w:rsidP="00EF3662">
      <w:pPr>
        <w:jc w:val="both"/>
        <w:rPr>
          <w:rFonts w:ascii="Tahoma" w:hAnsi="Tahoma" w:cs="Tahoma"/>
          <w:sz w:val="20"/>
          <w:szCs w:val="20"/>
        </w:rPr>
      </w:pPr>
      <w:r w:rsidRPr="00EF3662">
        <w:rPr>
          <w:rFonts w:ascii="Tahoma" w:hAnsi="Tahoma" w:cs="Tahoma"/>
          <w:sz w:val="20"/>
          <w:szCs w:val="20"/>
        </w:rPr>
        <w:t>Incluir en el desarrollo del proyecto, elementos de protección solar y materiales de construcción que permitan disminuir la temperatura de los espacios en los que se está llevando a cabo las obras.</w:t>
      </w:r>
    </w:p>
    <w:p w14:paraId="209B5BA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En el desarrollo de la obra, implementar acciones que permitan el aprovechamiento de luz y ventilación natural, debe aprovecharse al máximo la iluminación natural.</w:t>
      </w:r>
    </w:p>
    <w:p w14:paraId="5D170A2C" w14:textId="796E3987" w:rsidR="00EF3662" w:rsidRPr="00EF3662" w:rsidRDefault="00EF3662" w:rsidP="00EF3662">
      <w:pPr>
        <w:jc w:val="both"/>
        <w:rPr>
          <w:rFonts w:ascii="Tahoma" w:hAnsi="Tahoma" w:cs="Tahoma"/>
          <w:sz w:val="20"/>
          <w:szCs w:val="20"/>
        </w:rPr>
      </w:pPr>
      <w:r w:rsidRPr="00EF3662">
        <w:rPr>
          <w:rFonts w:ascii="Tahoma" w:hAnsi="Tahoma" w:cs="Tahoma"/>
          <w:sz w:val="20"/>
          <w:szCs w:val="20"/>
        </w:rPr>
        <w:t>Si el contratista utiliza equipos de consumo eléctrico, para la construcción de la edificación, estos deben ser de bajo consumo de energía donde se puede corroborar mediante la etiqueta de eficiencia energética o por medio de sus especificaciones técnicas de la marca adquirida.</w:t>
      </w:r>
    </w:p>
    <w:p w14:paraId="675DEA93" w14:textId="14A1E5E8"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Instalar dispositivos de bajo consumo de energía, emplear fuentes lumínicas de la más alta tecnología, sistemas que permitan disminuir el consumo con tecnología inteligente según aplique, por ejemplo: atenuadores, temporizadores, fotoceldas, reloj programable, sensores, entre otros. </w:t>
      </w:r>
    </w:p>
    <w:p w14:paraId="3D5DDCE1" w14:textId="21FDC47C" w:rsidR="00EF3662" w:rsidRPr="00EF3662" w:rsidRDefault="00EF3662" w:rsidP="00EF3662">
      <w:pPr>
        <w:jc w:val="both"/>
        <w:rPr>
          <w:rFonts w:ascii="Tahoma" w:hAnsi="Tahoma" w:cs="Tahoma"/>
          <w:sz w:val="20"/>
          <w:szCs w:val="20"/>
        </w:rPr>
      </w:pPr>
      <w:r w:rsidRPr="00EF3662">
        <w:rPr>
          <w:rFonts w:ascii="Tahoma" w:hAnsi="Tahoma" w:cs="Tahoma"/>
          <w:sz w:val="20"/>
          <w:szCs w:val="20"/>
        </w:rPr>
        <w:t>Contemplar en el desarrollo de la obra el uso de energías alternativas en la edificación o un porcentaje de esta, por ejemplo, energía solar fotovoltaica, energía solar térmica (si aplica), o eólica.</w:t>
      </w:r>
    </w:p>
    <w:p w14:paraId="01F3B0FA" w14:textId="1F677C4D"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El contratista encargado debe instalar un medidor temporal de energía o en su defecto pagar un porcentaje del valor facturado por concepto de consumo.</w:t>
      </w:r>
    </w:p>
    <w:p w14:paraId="3045A21D" w14:textId="601852B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7A68F13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1285 de 2015 y su resolución reglamentaria 549 de 2015, el Ministerio de Vivienda, Ciudad y Territorio establece los criterios para el ahorro de agua y energía en edificaciones.</w:t>
      </w:r>
    </w:p>
    <w:p w14:paraId="26FBFF5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Tener prácticas de uso racional de la energía de acuerdo a lo expuesto en la Resolución 300 del 2015 y la Resolución 580 de 2016 en cuanto al Documento de Gestión Eficiente de la Energía Eléctrica en la Universidad Distrital Francisco José de Caldas.</w:t>
      </w:r>
    </w:p>
    <w:p w14:paraId="2C8067D5"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697 de 2001, el Congreso de la Republica fomenta el uso racional y eficiente de la energía, además de que promueve la utilización de fuentes energéticas no convencionales. </w:t>
      </w:r>
    </w:p>
    <w:p w14:paraId="551C1013"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Nacional 1073 de 2015 (Decreto Único Reglamentario del Sector Administrativo de Minas y Energía), establece, en el Artículo 2.2.3.6.4.1, que "las medidas señaladas en el presente Decreto para propiciar el uso racional y eficiente de energía eléctrica aplicarán...", según su numeral 39, en las edificaciones donde funcionen entidades públicas.</w:t>
      </w:r>
    </w:p>
    <w:p w14:paraId="3E584DC0" w14:textId="202B026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Reglamento técnico de instalaciones eléctricas – RETIE.</w:t>
      </w:r>
    </w:p>
    <w:p w14:paraId="3B354B1E" w14:textId="2D08699C"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 GESTIÓN INTEGRAL DE RESIDUOS SOLIDOS</w:t>
      </w:r>
    </w:p>
    <w:p w14:paraId="4E133B74" w14:textId="36C85BFD"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deberá realizar la recolección de los residuos generados en cada una de las actividades, de acuerdo con el código de colores de la Universidad; además de realizar la evacuación de los mismos, con un gestor autorizado.</w:t>
      </w:r>
    </w:p>
    <w:p w14:paraId="753F405F" w14:textId="3F7DDC57" w:rsidR="00EF3662" w:rsidRPr="00EF3662" w:rsidRDefault="00EF3662" w:rsidP="00EF3662">
      <w:pPr>
        <w:jc w:val="both"/>
        <w:rPr>
          <w:rFonts w:ascii="Tahoma" w:hAnsi="Tahoma" w:cs="Tahoma"/>
          <w:sz w:val="20"/>
          <w:szCs w:val="20"/>
        </w:rPr>
      </w:pPr>
      <w:r w:rsidRPr="00EF3662">
        <w:rPr>
          <w:rFonts w:ascii="Tahoma" w:hAnsi="Tahoma" w:cs="Tahoma"/>
          <w:sz w:val="20"/>
          <w:szCs w:val="20"/>
        </w:rPr>
        <w:t>Todos los residuos generados (ordinarios, reutilizables, reciclables, peligrosos, especiales y demás), deben ser gestionados de forma adecuada, de acuerdo a sus características y de acuerdo a la normatividad ambiental vigente.</w:t>
      </w:r>
    </w:p>
    <w:p w14:paraId="7F2C123E" w14:textId="5A7AD0DE" w:rsidR="00EF3662" w:rsidRPr="00EF3662" w:rsidRDefault="00EF3662" w:rsidP="00EF3662">
      <w:pPr>
        <w:jc w:val="both"/>
        <w:rPr>
          <w:rFonts w:ascii="Tahoma" w:hAnsi="Tahoma" w:cs="Tahoma"/>
          <w:sz w:val="20"/>
          <w:szCs w:val="20"/>
        </w:rPr>
      </w:pPr>
      <w:r w:rsidRPr="00EF3662">
        <w:rPr>
          <w:rFonts w:ascii="Tahoma" w:hAnsi="Tahoma" w:cs="Tahoma"/>
          <w:sz w:val="20"/>
          <w:szCs w:val="20"/>
        </w:rPr>
        <w:t>Se debe tener en cuenta la destinación de los espacios, desarrollo de actividades, cantidad de personas; con el fin de proyectar la cantidad de residuos generados y su tipo; con el fin de asignar espacio físico para el correspondiente almacenamiento de los mismos, separado de acuerdo al tipo.</w:t>
      </w:r>
    </w:p>
    <w:p w14:paraId="58C4CE35"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1127A07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Decreto 400 de 2004, de la Alcaldía Mayor de Bogotá, impulsa el aprovechamiento eficiente de los residuos sólidos producidos en las entidades distritales. </w:t>
      </w:r>
    </w:p>
    <w:p w14:paraId="3844E86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2981 DE 2013, de la presidencia de la república por el cual se reglamenta la prestación del servicio público de aseo.</w:t>
      </w:r>
    </w:p>
    <w:p w14:paraId="4695719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2C77A10C" w14:textId="34ABB7A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1.2.4.11.1 RESIDUOS PELIGROSOS</w:t>
      </w:r>
    </w:p>
    <w:p w14:paraId="046A223A"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realizar la gestión integral de residuos peligrosos generados en el desarrollo de la obra, estos deben ser tratados de manera adecuada de acuerdo a sus características según lo establezca la normatividad vigente.  </w:t>
      </w:r>
    </w:p>
    <w:p w14:paraId="76AFCEE1" w14:textId="1E444CA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4741 de 2005, de la Presidencia de la República, se reglamenta parcialmente la prevención y manejo de los residuos o desechos peligrosos generados en el marco de la gestión integral.</w:t>
      </w:r>
    </w:p>
    <w:p w14:paraId="13E8B0F7" w14:textId="3D3E84C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17F09970" w14:textId="2278B0C5"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1.2.4.11.2 RESIDUOS DE CONSTRUCCIÓN Y DEMOLICIÓN – RCD´S   </w:t>
      </w:r>
    </w:p>
    <w:p w14:paraId="6C360596" w14:textId="0B222D51"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Es obligación del contratista el retiro de los escombros y/o residuos de obra y material sobrante, los cuales deberán realizar la disposición final según las normas ambientales vigentes; además de presentar información relacionada con: datos del vehículo en el cual se movilizan los residuos y el sitio de disposición final o aprovechamiento de los mismos.</w:t>
      </w:r>
    </w:p>
    <w:p w14:paraId="4D1F6A8C" w14:textId="3931354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constructor y/o contratista, debe desarrollar programas tendientes al reciclaje y reutilización de residuos de construcción y demolición. </w:t>
      </w:r>
    </w:p>
    <w:p w14:paraId="49475E7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embalar y almacenar los residuos de forma adecuada, teniendo en cuenta las rutas de evacuación.</w:t>
      </w:r>
    </w:p>
    <w:p w14:paraId="0501CB0D" w14:textId="2FD67948"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no debe realizar el almacenamiento o disposición de residuos en espacio público y en el caso de que se imponga algún tipo de multa o sanción, esta debe ser asumida por el mismo.</w:t>
      </w:r>
    </w:p>
    <w:p w14:paraId="50AB9A36" w14:textId="51F77C5F"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elaborar el documento “Plan de Gestión de RCD en Obra”, con base en la Guía de Manejo que establezca la Secretaría Distrital de Ambiente para tal efecto, donde se incluirán las medidas para la separación de los residuos en obra, los planos de las instalaciones previstas para la separación y las disposiciones de los los estudios previos de prescripciones técnicas particulares del proyecto, en relación con la separación de los RCD dentro de la obra.</w:t>
      </w:r>
    </w:p>
    <w:p w14:paraId="79A8FFC9" w14:textId="1E6B31B7"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Tener en el sitio de obra o acopio un inventario actualizado permanentemente de la cantidad y tipo de RCD generados y/o poseídos; este inventario debe ser actualizado de forma mensual relacionando la siguiente información:</w:t>
      </w:r>
    </w:p>
    <w:p w14:paraId="6369C717"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Registro de todos los ingresos y salidas de RCD</w:t>
      </w:r>
    </w:p>
    <w:p w14:paraId="6C07ADF8"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Fecha de cada ingreso o salida</w:t>
      </w:r>
    </w:p>
    <w:p w14:paraId="7DAA038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Origen (dirección y teléfono)</w:t>
      </w:r>
    </w:p>
    <w:p w14:paraId="7E55EC0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firma del generador</w:t>
      </w:r>
    </w:p>
    <w:p w14:paraId="414D3D09"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Destino inmediato y final</w:t>
      </w:r>
    </w:p>
    <w:p w14:paraId="4B2B506B"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Tipo, volumen y peso</w:t>
      </w:r>
    </w:p>
    <w:p w14:paraId="57B9040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sello del transportador</w:t>
      </w:r>
    </w:p>
    <w:p w14:paraId="6FDC03E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de quien recibe y firma</w:t>
      </w:r>
    </w:p>
    <w:p w14:paraId="668F0883" w14:textId="77777777" w:rsidR="00EF3662" w:rsidRPr="00EF3662" w:rsidRDefault="00EF3662" w:rsidP="00EF3662">
      <w:pPr>
        <w:jc w:val="both"/>
        <w:rPr>
          <w:rFonts w:ascii="Tahoma" w:eastAsia="Calibri" w:hAnsi="Tahoma" w:cs="Tahoma"/>
          <w:sz w:val="20"/>
          <w:szCs w:val="20"/>
          <w:lang w:eastAsia="ar-SA"/>
        </w:rPr>
      </w:pPr>
    </w:p>
    <w:p w14:paraId="64DC0585" w14:textId="115EEDD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Generar un inventario de los residuos peligrosos provenientes de actividades de demolición, reparación o reforma, proceder a su retiro selectivo y entregar a gestores autorizados de residuos especiales; además de gestionar el transporte y disposición final con gestores externos autorizados, solicitando las certificaciones necesarias y entregarlas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del contrato y al profesional ambiental de la División de Recursos Físicos.</w:t>
      </w:r>
    </w:p>
    <w:p w14:paraId="67CCAEE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trabajar únicamente con transportadores inscritos en la página web de la SDA y que hayan obtenido su respectivo PIN. Los transportadores de RCD deberán notificar su actividad ante la Secretaria Distrital de Ambiente mediante su inscripción en el Registro Web y la asignación de su respectivo PIN.</w:t>
      </w:r>
    </w:p>
    <w:p w14:paraId="325DFFB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7B46E9E7" w14:textId="47AA06D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1115 de 2012, de la Secretaria Distrital de Ambiente, Por medio de la cual se adoptan los lineamientos Técnico - Ambientales para las actividades de aprovechamiento y tratamiento de los residuos de construcción y demolición en el Distrito Capital; además de la Resolución 932 de 2015, por la cual se modifica y Adiciona la Resolución 1115 de 2012, así mismo la Resolución 715 de 2013, por la cual se modifica la Resolución 1115 de 2012</w:t>
      </w:r>
    </w:p>
    <w:p w14:paraId="6A8829F1"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586 de 2015, de la Alcaldía Mayor de Bogotá, Por medio del cual se adopta el modelo eficiente y sostenible de gestión de los Residuos de Construcción y Demolición - RCD en Bogotá D.C.</w:t>
      </w:r>
    </w:p>
    <w:p w14:paraId="071807D3" w14:textId="60D48526"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 xml:space="preserve">2016, por la cual se expide el Código Nacional de Policía. </w:t>
      </w:r>
    </w:p>
    <w:p w14:paraId="1826383B" w14:textId="5404DAFF"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1.2.4.12 MANEJO DE ARBOLADO </w:t>
      </w:r>
    </w:p>
    <w:p w14:paraId="0D47E38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 xml:space="preserve">El contratista, debe identificar e inventariar las especies vegetales, que se encuentren en al área a intervenir. </w:t>
      </w:r>
    </w:p>
    <w:p w14:paraId="20D609F1" w14:textId="59523A7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Si se requiere intervención silvicultural como arborización, tala, poda, bloqueo y traslado, manejo o aprovechamiento del arbolado urbano, se regirá por los lineamientos establecidos en el Manual de Silvicultura Urbana, Zonas Verdes y Jardinería y ejecutará las intervenciones autorizadas, previo permiso otorgado por la Secretaría Distrital de Ambiente. </w:t>
      </w:r>
    </w:p>
    <w:p w14:paraId="4E4833C6"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Si no se requiere ningún tipo de intervención silvicultural, se debe proteger las especies vegetales, a través de un cerramiento y velar por su cuidado y protección.</w:t>
      </w:r>
    </w:p>
    <w:p w14:paraId="1A1C39F7" w14:textId="429981D5"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531 de 2010, Por el cual se reglamenta la silvicultura urbana, zonas verdes y la jardinería en Bogotá y se definen las responsabilidades de las Entidades Distritales en relación con el tema y se dictan otras disposiciones.</w:t>
      </w:r>
    </w:p>
    <w:p w14:paraId="3DD918E8" w14:textId="16168E5D"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1.2.4.13 VARIOS</w:t>
      </w:r>
    </w:p>
    <w:p w14:paraId="4793DC40" w14:textId="77A600A3" w:rsidR="00EF3662" w:rsidRPr="00EF3662" w:rsidRDefault="00EF3662" w:rsidP="00EF3662">
      <w:pPr>
        <w:jc w:val="both"/>
        <w:rPr>
          <w:rFonts w:ascii="Tahoma" w:hAnsi="Tahoma" w:cs="Tahoma"/>
          <w:sz w:val="20"/>
          <w:szCs w:val="20"/>
        </w:rPr>
      </w:pPr>
      <w:r w:rsidRPr="00EF3662">
        <w:rPr>
          <w:rFonts w:ascii="Tahoma" w:hAnsi="Tahoma" w:cs="Tahoma"/>
          <w:sz w:val="20"/>
          <w:szCs w:val="20"/>
        </w:rPr>
        <w:t>En caso de realizar actividades de señalización de obras, tratamiento y manejo de cobertura vegetal, excavaciones, manejo de aguas superficiales durante las obras, transporte, manejo y disposición de escombros, manejo de equipos, desmantelamiento de instalaciones, etc., el contratista deberá adoptar los parámetros técnicos y de manejo ambiental contenidos en el Manual de Respeto al Ciudadano, adoptado por el Instituto de Desarrollo Urbano, así como la Guía de Manejo Ambiental para el desarrollo de proyectos de infraestructura urbana de Bogotá D.C., adoptado por el IDU y la autoridad ambiental urbana DAMA mediante Resolución No. 991 de 2001 y la Guía Ambiental del Plan Maestro de Seguridad (o la que se encuentre vigente).</w:t>
      </w:r>
    </w:p>
    <w:p w14:paraId="4575E491" w14:textId="3AC34C2B" w:rsidR="00EF3662" w:rsidRPr="00EF3662" w:rsidRDefault="00EF3662" w:rsidP="00EF3662">
      <w:pPr>
        <w:jc w:val="both"/>
        <w:rPr>
          <w:rFonts w:ascii="Tahoma" w:hAnsi="Tahoma" w:cs="Tahoma"/>
          <w:sz w:val="20"/>
          <w:szCs w:val="20"/>
        </w:rPr>
      </w:pPr>
      <w:r w:rsidRPr="00EF3662">
        <w:rPr>
          <w:rFonts w:ascii="Tahoma" w:hAnsi="Tahoma" w:cs="Tahoma"/>
          <w:sz w:val="20"/>
          <w:szCs w:val="20"/>
        </w:rPr>
        <w:t>Durante la ejecución de los trabajos y hasta su entrega final, el contratista está en la obligación de poner en práctica los procedimientos adecuados de señalización, construcción y de protección contra cualquier daño o deterioro que pueda afectar la calidad, estabilidad y acabados de los inmuebles aledaños, las estructuras e instalaciones de redes de servicios superficiales o subterráneos existentes dentro del área de trabajo o adyacentes a ella, siendo de su exclusiva responsabilidad cualquier daño que pudiere ocasionar a tales inmuebles, estructuras, instalaciones o redes</w:t>
      </w:r>
      <w:r w:rsidR="00D4404F">
        <w:rPr>
          <w:rFonts w:ascii="Tahoma" w:hAnsi="Tahoma" w:cs="Tahoma"/>
          <w:sz w:val="20"/>
          <w:szCs w:val="20"/>
        </w:rPr>
        <w:t>.</w:t>
      </w:r>
    </w:p>
    <w:p w14:paraId="44E60025" w14:textId="714DF206" w:rsidR="00EF3662" w:rsidRPr="00EF3662" w:rsidRDefault="00EF3662" w:rsidP="00EF3662">
      <w:pPr>
        <w:jc w:val="both"/>
        <w:rPr>
          <w:rFonts w:ascii="Tahoma" w:hAnsi="Tahoma" w:cs="Tahoma"/>
          <w:sz w:val="20"/>
          <w:szCs w:val="20"/>
        </w:rPr>
      </w:pPr>
      <w:r w:rsidRPr="00EF3662">
        <w:rPr>
          <w:rFonts w:ascii="Tahoma" w:hAnsi="Tahoma" w:cs="Tahoma"/>
          <w:sz w:val="20"/>
          <w:szCs w:val="20"/>
        </w:rPr>
        <w:t>La ejecución de la construcción, lo mismo que el suministro de bienes y equipos por parte de EL CONSTRUCTOR, deberán cumplir los requisitos de las Normas del Instituto Colombiano de Normas Técnicas, ICONTEC, de la E.A.A.B. y de CODENSA, aplicables al proyecto.</w:t>
      </w:r>
    </w:p>
    <w:p w14:paraId="144E7654" w14:textId="2984DD7A"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Los materiales de </w:t>
      </w:r>
      <w:r w:rsidR="00504D24" w:rsidRPr="00EF3662">
        <w:rPr>
          <w:rFonts w:ascii="Tahoma" w:hAnsi="Tahoma" w:cs="Tahoma"/>
          <w:sz w:val="20"/>
          <w:szCs w:val="20"/>
        </w:rPr>
        <w:t>construcción</w:t>
      </w:r>
      <w:r w:rsidRPr="00EF3662">
        <w:rPr>
          <w:rFonts w:ascii="Tahoma" w:hAnsi="Tahoma" w:cs="Tahoma"/>
          <w:sz w:val="20"/>
          <w:szCs w:val="20"/>
        </w:rPr>
        <w:t xml:space="preserve"> deben provenir de empresas u organizaciones responsables con el ambiente y/o preferir a aquellas empresas que cumplan con las normas técnicas colombianas ISO-NTC 9001, ISO-NTC 14001, NTC OSHAS 18001 y SA 8000</w:t>
      </w:r>
      <w:r w:rsidR="00504D24">
        <w:rPr>
          <w:rFonts w:ascii="Tahoma" w:hAnsi="Tahoma" w:cs="Tahoma"/>
          <w:sz w:val="20"/>
          <w:szCs w:val="20"/>
        </w:rPr>
        <w:t xml:space="preserve"> y sus actualizaciones</w:t>
      </w:r>
      <w:r w:rsidRPr="00EF3662">
        <w:rPr>
          <w:rFonts w:ascii="Tahoma" w:hAnsi="Tahoma" w:cs="Tahoma"/>
          <w:sz w:val="20"/>
          <w:szCs w:val="20"/>
        </w:rPr>
        <w:t xml:space="preserve">. </w:t>
      </w:r>
    </w:p>
    <w:p w14:paraId="211E336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Atentamente, </w:t>
      </w:r>
    </w:p>
    <w:p w14:paraId="1EA5F94A" w14:textId="77777777" w:rsidR="00EF3662" w:rsidRPr="00EF3662" w:rsidRDefault="00EF3662" w:rsidP="00EF3662">
      <w:pPr>
        <w:jc w:val="both"/>
        <w:rPr>
          <w:rFonts w:ascii="Tahoma" w:hAnsi="Tahoma" w:cs="Tahoma"/>
          <w:sz w:val="20"/>
          <w:szCs w:val="20"/>
        </w:rPr>
      </w:pPr>
    </w:p>
    <w:p w14:paraId="605958A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o Razón Social del Proponente: ______________________________</w:t>
      </w:r>
    </w:p>
    <w:p w14:paraId="5EAC1261"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NIT: __________________________________________________________</w:t>
      </w:r>
    </w:p>
    <w:p w14:paraId="0A4A072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del Representante Legal: ___________________________________</w:t>
      </w:r>
    </w:p>
    <w:p w14:paraId="55013CE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 C. N.:______________________ De:______________________________</w:t>
      </w:r>
    </w:p>
    <w:p w14:paraId="2B8B678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Dirección: ______________________________________________________</w:t>
      </w:r>
    </w:p>
    <w:p w14:paraId="1E0F838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Correo electrónico: _______________________________________________</w:t>
      </w:r>
    </w:p>
    <w:p w14:paraId="5436AC6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Teléfonos: ________________________    Cel: ________________________</w:t>
      </w:r>
    </w:p>
    <w:p w14:paraId="508213F6"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Ciudad: ________________________________________________________</w:t>
      </w:r>
    </w:p>
    <w:p w14:paraId="2944A4F4"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FIRMA: ________________________________________________________</w:t>
      </w:r>
    </w:p>
    <w:p w14:paraId="5B78720E" w14:textId="0BB3B92F" w:rsidR="00016B8F" w:rsidRPr="00EF3662" w:rsidRDefault="00EF3662" w:rsidP="00D4404F">
      <w:pPr>
        <w:spacing w:after="0"/>
        <w:jc w:val="both"/>
      </w:pPr>
      <w:r w:rsidRPr="00EF3662">
        <w:rPr>
          <w:rFonts w:ascii="Tahoma" w:hAnsi="Tahoma" w:cs="Tahoma"/>
          <w:spacing w:val="-3"/>
          <w:sz w:val="20"/>
          <w:szCs w:val="20"/>
        </w:rPr>
        <w:t>NOMBRE Y CALIDAD DE QUIEN FIRMA: ______________________________</w:t>
      </w:r>
    </w:p>
    <w:sectPr w:rsidR="00016B8F" w:rsidRPr="00EF3662" w:rsidSect="00EF3662">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F1845"/>
    <w:multiLevelType w:val="hybridMultilevel"/>
    <w:tmpl w:val="87A8E0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D3A6A84"/>
    <w:multiLevelType w:val="multilevel"/>
    <w:tmpl w:val="30825D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EE00A0"/>
    <w:multiLevelType w:val="hybridMultilevel"/>
    <w:tmpl w:val="2D7C4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B9828A1"/>
    <w:multiLevelType w:val="hybridMultilevel"/>
    <w:tmpl w:val="B3703E42"/>
    <w:lvl w:ilvl="0" w:tplc="240A0001">
      <w:start w:val="1"/>
      <w:numFmt w:val="bullet"/>
      <w:lvlText w:val=""/>
      <w:lvlJc w:val="left"/>
      <w:pPr>
        <w:ind w:left="1440" w:hanging="360"/>
      </w:pPr>
      <w:rPr>
        <w:rFonts w:ascii="Symbol" w:hAnsi="Symbol"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15:restartNumberingAfterBreak="0">
    <w:nsid w:val="32094D78"/>
    <w:multiLevelType w:val="hybridMultilevel"/>
    <w:tmpl w:val="973681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500057C"/>
    <w:multiLevelType w:val="hybridMultilevel"/>
    <w:tmpl w:val="20664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C902596"/>
    <w:multiLevelType w:val="hybridMultilevel"/>
    <w:tmpl w:val="3BE4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1151180"/>
    <w:multiLevelType w:val="hybridMultilevel"/>
    <w:tmpl w:val="1640E8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D331A23"/>
    <w:multiLevelType w:val="hybridMultilevel"/>
    <w:tmpl w:val="A8A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997882478">
    <w:abstractNumId w:val="3"/>
  </w:num>
  <w:num w:numId="2" w16cid:durableId="421688859">
    <w:abstractNumId w:val="5"/>
  </w:num>
  <w:num w:numId="3" w16cid:durableId="880169755">
    <w:abstractNumId w:val="7"/>
  </w:num>
  <w:num w:numId="4" w16cid:durableId="2026202745">
    <w:abstractNumId w:val="2"/>
  </w:num>
  <w:num w:numId="5" w16cid:durableId="1595818762">
    <w:abstractNumId w:val="1"/>
  </w:num>
  <w:num w:numId="6" w16cid:durableId="382290963">
    <w:abstractNumId w:val="0"/>
  </w:num>
  <w:num w:numId="7" w16cid:durableId="1887059993">
    <w:abstractNumId w:val="8"/>
  </w:num>
  <w:num w:numId="8" w16cid:durableId="687029400">
    <w:abstractNumId w:val="4"/>
  </w:num>
  <w:num w:numId="9" w16cid:durableId="19796783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16B8F"/>
    <w:rsid w:val="00083A6C"/>
    <w:rsid w:val="000974C2"/>
    <w:rsid w:val="000C36F1"/>
    <w:rsid w:val="002135F2"/>
    <w:rsid w:val="00254453"/>
    <w:rsid w:val="00254D61"/>
    <w:rsid w:val="00293C9D"/>
    <w:rsid w:val="003A736F"/>
    <w:rsid w:val="004404D2"/>
    <w:rsid w:val="0046273D"/>
    <w:rsid w:val="004B01FC"/>
    <w:rsid w:val="00504D24"/>
    <w:rsid w:val="00587F01"/>
    <w:rsid w:val="0059277F"/>
    <w:rsid w:val="005B5CBB"/>
    <w:rsid w:val="006C7CC9"/>
    <w:rsid w:val="007213E3"/>
    <w:rsid w:val="007633FD"/>
    <w:rsid w:val="007D4F8C"/>
    <w:rsid w:val="00847564"/>
    <w:rsid w:val="008B04FF"/>
    <w:rsid w:val="00951360"/>
    <w:rsid w:val="00974020"/>
    <w:rsid w:val="009817BD"/>
    <w:rsid w:val="00994628"/>
    <w:rsid w:val="00A422DE"/>
    <w:rsid w:val="00AD3AA3"/>
    <w:rsid w:val="00B8061D"/>
    <w:rsid w:val="00B97500"/>
    <w:rsid w:val="00C95529"/>
    <w:rsid w:val="00CF0644"/>
    <w:rsid w:val="00D04C0F"/>
    <w:rsid w:val="00D4404F"/>
    <w:rsid w:val="00D54A40"/>
    <w:rsid w:val="00DC5755"/>
    <w:rsid w:val="00ED75B1"/>
    <w:rsid w:val="00EF36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AD13"/>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8B04F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8B04FF"/>
    <w:rPr>
      <w:rFonts w:ascii="Arial" w:eastAsia="Calibri" w:hAnsi="Arial" w:cs="Times New Roman"/>
      <w:sz w:val="24"/>
      <w:szCs w:val="24"/>
      <w:lang w:val="es-ES" w:eastAsia="ar-SA"/>
    </w:rPr>
  </w:style>
  <w:style w:type="paragraph" w:customStyle="1" w:styleId="Default">
    <w:name w:val="Default"/>
    <w:rsid w:val="008B04FF"/>
    <w:pPr>
      <w:autoSpaceDE w:val="0"/>
      <w:autoSpaceDN w:val="0"/>
      <w:adjustRightInd w:val="0"/>
      <w:spacing w:after="0" w:line="240" w:lineRule="auto"/>
    </w:pPr>
    <w:rPr>
      <w:rFonts w:ascii="Tahoma" w:eastAsia="Calibri" w:hAnsi="Tahoma" w:cs="Tahoma"/>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4222</Words>
  <Characters>23226</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12</cp:revision>
  <dcterms:created xsi:type="dcterms:W3CDTF">2023-10-09T17:10:00Z</dcterms:created>
  <dcterms:modified xsi:type="dcterms:W3CDTF">2025-05-26T14:53:00Z</dcterms:modified>
</cp:coreProperties>
</file>